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DF4" w:rsidRPr="000C349E" w:rsidRDefault="00E05230" w:rsidP="000C349E">
      <w:pPr>
        <w:rPr>
          <w:b/>
          <w:sz w:val="28"/>
          <w:szCs w:val="28"/>
        </w:rPr>
      </w:pPr>
      <w:bookmarkStart w:id="0" w:name="_GoBack"/>
      <w:bookmarkEnd w:id="0"/>
      <w:r w:rsidRPr="000C349E">
        <w:rPr>
          <w:b/>
          <w:sz w:val="28"/>
          <w:szCs w:val="28"/>
        </w:rPr>
        <w:t>S</w:t>
      </w:r>
      <w:r w:rsidR="000C349E" w:rsidRPr="000C349E">
        <w:rPr>
          <w:b/>
          <w:sz w:val="28"/>
          <w:szCs w:val="28"/>
        </w:rPr>
        <w:t>entencia</w:t>
      </w:r>
      <w:r w:rsidRPr="000C349E">
        <w:rPr>
          <w:b/>
          <w:sz w:val="28"/>
          <w:szCs w:val="28"/>
        </w:rPr>
        <w:t xml:space="preserve"> T-032</w:t>
      </w:r>
      <w:r w:rsidR="000C349E">
        <w:rPr>
          <w:b/>
          <w:sz w:val="28"/>
          <w:szCs w:val="28"/>
        </w:rPr>
        <w:t>/</w:t>
      </w:r>
      <w:r w:rsidR="009A70EE" w:rsidRPr="000C349E">
        <w:rPr>
          <w:b/>
          <w:sz w:val="28"/>
          <w:szCs w:val="28"/>
        </w:rPr>
        <w:t>20</w:t>
      </w:r>
    </w:p>
    <w:p w:rsidR="00F02DF4" w:rsidRDefault="00F02DF4" w:rsidP="000C349E">
      <w:pPr>
        <w:ind w:left="4248"/>
        <w:jc w:val="center"/>
        <w:rPr>
          <w:b/>
          <w:sz w:val="28"/>
          <w:szCs w:val="28"/>
        </w:rPr>
      </w:pPr>
    </w:p>
    <w:p w:rsidR="000C349E" w:rsidRPr="000C349E" w:rsidRDefault="000C349E" w:rsidP="000C349E">
      <w:pPr>
        <w:ind w:left="4248"/>
        <w:jc w:val="center"/>
        <w:rPr>
          <w:b/>
          <w:sz w:val="28"/>
          <w:szCs w:val="28"/>
        </w:rPr>
      </w:pPr>
    </w:p>
    <w:p w:rsidR="00F02DF4" w:rsidRPr="000C349E" w:rsidRDefault="00F02DF4" w:rsidP="000C349E">
      <w:pPr>
        <w:ind w:left="3969"/>
        <w:jc w:val="both"/>
        <w:rPr>
          <w:sz w:val="28"/>
          <w:szCs w:val="28"/>
        </w:rPr>
      </w:pPr>
      <w:r w:rsidRPr="000C349E">
        <w:rPr>
          <w:sz w:val="28"/>
          <w:szCs w:val="28"/>
        </w:rPr>
        <w:t>Referencia:</w:t>
      </w:r>
      <w:r w:rsidR="004F0CE4" w:rsidRPr="000C349E">
        <w:rPr>
          <w:sz w:val="28"/>
          <w:szCs w:val="28"/>
        </w:rPr>
        <w:t xml:space="preserve"> Expediente T-</w:t>
      </w:r>
      <w:r w:rsidR="00DF0B10" w:rsidRPr="000C349E">
        <w:rPr>
          <w:sz w:val="28"/>
          <w:szCs w:val="28"/>
        </w:rPr>
        <w:t>7025806</w:t>
      </w:r>
    </w:p>
    <w:p w:rsidR="00F02DF4" w:rsidRPr="000C349E" w:rsidRDefault="00F02DF4" w:rsidP="000C349E">
      <w:pPr>
        <w:ind w:left="3969"/>
        <w:jc w:val="both"/>
        <w:rPr>
          <w:sz w:val="28"/>
          <w:szCs w:val="28"/>
        </w:rPr>
      </w:pPr>
    </w:p>
    <w:p w:rsidR="00F02DF4" w:rsidRPr="000C349E" w:rsidRDefault="00F02DF4" w:rsidP="000C349E">
      <w:pPr>
        <w:ind w:left="3969"/>
        <w:jc w:val="both"/>
        <w:rPr>
          <w:sz w:val="28"/>
          <w:szCs w:val="28"/>
        </w:rPr>
      </w:pPr>
      <w:r w:rsidRPr="000C349E">
        <w:rPr>
          <w:sz w:val="28"/>
          <w:szCs w:val="28"/>
        </w:rPr>
        <w:t>Acción de tutela interpuesta por</w:t>
      </w:r>
      <w:r w:rsidR="00F33005" w:rsidRPr="000C349E">
        <w:rPr>
          <w:sz w:val="28"/>
          <w:szCs w:val="28"/>
        </w:rPr>
        <w:t xml:space="preserve"> </w:t>
      </w:r>
      <w:r w:rsidR="000D699F" w:rsidRPr="000C349E">
        <w:rPr>
          <w:sz w:val="28"/>
          <w:szCs w:val="28"/>
        </w:rPr>
        <w:t xml:space="preserve">la representante legal </w:t>
      </w:r>
      <w:r w:rsidR="005E6A49" w:rsidRPr="000C349E">
        <w:rPr>
          <w:sz w:val="28"/>
          <w:szCs w:val="28"/>
        </w:rPr>
        <w:t xml:space="preserve">de </w:t>
      </w:r>
      <w:r w:rsidR="006452C8" w:rsidRPr="000C349E">
        <w:rPr>
          <w:sz w:val="28"/>
          <w:szCs w:val="28"/>
        </w:rPr>
        <w:t>Proseguir IPS</w:t>
      </w:r>
      <w:r w:rsidR="000D699F" w:rsidRPr="000C349E">
        <w:rPr>
          <w:sz w:val="28"/>
          <w:szCs w:val="28"/>
        </w:rPr>
        <w:t xml:space="preserve"> Ginna Rocío García Parra</w:t>
      </w:r>
      <w:r w:rsidRPr="000C349E">
        <w:rPr>
          <w:sz w:val="28"/>
          <w:szCs w:val="28"/>
        </w:rPr>
        <w:t xml:space="preserve">, </w:t>
      </w:r>
      <w:r w:rsidR="006452C8" w:rsidRPr="000C349E">
        <w:rPr>
          <w:sz w:val="28"/>
          <w:szCs w:val="28"/>
        </w:rPr>
        <w:t xml:space="preserve">actuando </w:t>
      </w:r>
      <w:r w:rsidRPr="000C349E">
        <w:rPr>
          <w:sz w:val="28"/>
          <w:szCs w:val="28"/>
        </w:rPr>
        <w:t>como agente ofici</w:t>
      </w:r>
      <w:r w:rsidR="00923FB6" w:rsidRPr="000C349E">
        <w:rPr>
          <w:sz w:val="28"/>
          <w:szCs w:val="28"/>
        </w:rPr>
        <w:t>osa de Ángel Abad</w:t>
      </w:r>
      <w:r w:rsidR="002A6DAF" w:rsidRPr="000C349E">
        <w:rPr>
          <w:sz w:val="28"/>
          <w:szCs w:val="28"/>
        </w:rPr>
        <w:t xml:space="preserve"> Hoyos</w:t>
      </w:r>
      <w:r w:rsidR="000108AD" w:rsidRPr="000C349E">
        <w:rPr>
          <w:sz w:val="28"/>
          <w:szCs w:val="28"/>
        </w:rPr>
        <w:t xml:space="preserve"> </w:t>
      </w:r>
      <w:r w:rsidR="000E78B9" w:rsidRPr="000C349E">
        <w:rPr>
          <w:sz w:val="28"/>
          <w:szCs w:val="28"/>
        </w:rPr>
        <w:t>Fernández,</w:t>
      </w:r>
      <w:r w:rsidRPr="000C349E">
        <w:rPr>
          <w:sz w:val="28"/>
          <w:szCs w:val="28"/>
        </w:rPr>
        <w:t xml:space="preserve"> </w:t>
      </w:r>
      <w:r w:rsidR="00537F73" w:rsidRPr="000C349E">
        <w:rPr>
          <w:sz w:val="28"/>
          <w:szCs w:val="28"/>
        </w:rPr>
        <w:t xml:space="preserve">en </w:t>
      </w:r>
      <w:r w:rsidRPr="000C349E">
        <w:rPr>
          <w:sz w:val="28"/>
          <w:szCs w:val="28"/>
        </w:rPr>
        <w:t>contra</w:t>
      </w:r>
      <w:r w:rsidR="002A6DAF" w:rsidRPr="000C349E">
        <w:rPr>
          <w:sz w:val="28"/>
          <w:szCs w:val="28"/>
        </w:rPr>
        <w:t xml:space="preserve"> </w:t>
      </w:r>
      <w:r w:rsidR="00537F73" w:rsidRPr="000C349E">
        <w:rPr>
          <w:sz w:val="28"/>
          <w:szCs w:val="28"/>
        </w:rPr>
        <w:t xml:space="preserve">de </w:t>
      </w:r>
      <w:r w:rsidR="00B76D1C" w:rsidRPr="000C349E">
        <w:rPr>
          <w:sz w:val="28"/>
          <w:szCs w:val="28"/>
        </w:rPr>
        <w:t>María del Pilar Jiménez Rodríguez, José Domingo</w:t>
      </w:r>
      <w:r w:rsidR="002B2B9A" w:rsidRPr="000C349E">
        <w:rPr>
          <w:sz w:val="28"/>
          <w:szCs w:val="28"/>
        </w:rPr>
        <w:t xml:space="preserve"> Martínez Rincón</w:t>
      </w:r>
      <w:r w:rsidR="00B76D1C" w:rsidRPr="000C349E">
        <w:rPr>
          <w:sz w:val="28"/>
          <w:szCs w:val="28"/>
        </w:rPr>
        <w:t>, Jenny Mireya Rodríguez, Paula Andrea Jiménez Rodríguez e Isabella Hoyos Jiménez</w:t>
      </w:r>
      <w:r w:rsidRPr="000C349E">
        <w:rPr>
          <w:sz w:val="28"/>
          <w:szCs w:val="28"/>
        </w:rPr>
        <w:t>.</w:t>
      </w:r>
    </w:p>
    <w:p w:rsidR="00F02DF4" w:rsidRPr="000C349E" w:rsidRDefault="00F02DF4" w:rsidP="000C349E">
      <w:pPr>
        <w:ind w:left="3969"/>
        <w:jc w:val="both"/>
        <w:rPr>
          <w:sz w:val="28"/>
          <w:szCs w:val="28"/>
        </w:rPr>
      </w:pPr>
      <w:r w:rsidRPr="000C349E">
        <w:rPr>
          <w:sz w:val="28"/>
          <w:szCs w:val="28"/>
        </w:rPr>
        <w:t xml:space="preserve"> </w:t>
      </w:r>
    </w:p>
    <w:p w:rsidR="00F02DF4" w:rsidRPr="000C349E" w:rsidRDefault="00F02DF4" w:rsidP="000C349E">
      <w:pPr>
        <w:ind w:left="3969"/>
        <w:jc w:val="both"/>
        <w:rPr>
          <w:sz w:val="28"/>
          <w:szCs w:val="28"/>
        </w:rPr>
      </w:pPr>
      <w:r w:rsidRPr="000C349E">
        <w:rPr>
          <w:sz w:val="28"/>
          <w:szCs w:val="28"/>
        </w:rPr>
        <w:t xml:space="preserve">Magistrado Ponente: </w:t>
      </w:r>
    </w:p>
    <w:p w:rsidR="00F02DF4" w:rsidRPr="000C349E" w:rsidRDefault="000C349E" w:rsidP="000C349E">
      <w:pPr>
        <w:ind w:left="3969"/>
        <w:jc w:val="both"/>
        <w:rPr>
          <w:sz w:val="28"/>
          <w:szCs w:val="28"/>
        </w:rPr>
      </w:pPr>
      <w:r w:rsidRPr="000C349E">
        <w:rPr>
          <w:sz w:val="28"/>
          <w:szCs w:val="28"/>
        </w:rPr>
        <w:t>LUIS GUILLERMO GUERRERO PÉREZ</w:t>
      </w:r>
    </w:p>
    <w:p w:rsidR="00F02DF4" w:rsidRDefault="00F02DF4" w:rsidP="000C349E">
      <w:pPr>
        <w:ind w:left="4252"/>
        <w:jc w:val="both"/>
        <w:rPr>
          <w:sz w:val="28"/>
          <w:szCs w:val="28"/>
        </w:rPr>
      </w:pPr>
    </w:p>
    <w:p w:rsidR="000C349E" w:rsidRPr="000C349E" w:rsidRDefault="000C349E" w:rsidP="000C349E">
      <w:pPr>
        <w:ind w:left="4252"/>
        <w:jc w:val="both"/>
        <w:rPr>
          <w:sz w:val="28"/>
          <w:szCs w:val="28"/>
        </w:rPr>
      </w:pPr>
    </w:p>
    <w:p w:rsidR="00F02DF4" w:rsidRPr="000C349E" w:rsidRDefault="004F0CE4" w:rsidP="000C349E">
      <w:pPr>
        <w:jc w:val="both"/>
        <w:rPr>
          <w:sz w:val="28"/>
          <w:szCs w:val="28"/>
        </w:rPr>
      </w:pPr>
      <w:r w:rsidRPr="000C349E">
        <w:rPr>
          <w:sz w:val="28"/>
          <w:szCs w:val="28"/>
        </w:rPr>
        <w:t>Bogotá,</w:t>
      </w:r>
      <w:r w:rsidR="00F93C18" w:rsidRPr="000C349E">
        <w:rPr>
          <w:sz w:val="28"/>
          <w:szCs w:val="28"/>
        </w:rPr>
        <w:t xml:space="preserve"> D.C., treinta (30</w:t>
      </w:r>
      <w:r w:rsidR="00DF0B10" w:rsidRPr="000C349E">
        <w:rPr>
          <w:sz w:val="28"/>
          <w:szCs w:val="28"/>
        </w:rPr>
        <w:t xml:space="preserve">) de </w:t>
      </w:r>
      <w:r w:rsidR="001E1433" w:rsidRPr="000C349E">
        <w:rPr>
          <w:sz w:val="28"/>
          <w:szCs w:val="28"/>
        </w:rPr>
        <w:t>enero de dos mil veinte (2020</w:t>
      </w:r>
      <w:r w:rsidR="00F02DF4" w:rsidRPr="000C349E">
        <w:rPr>
          <w:sz w:val="28"/>
          <w:szCs w:val="28"/>
        </w:rPr>
        <w:t>).</w:t>
      </w:r>
    </w:p>
    <w:p w:rsidR="00F02DF4" w:rsidRDefault="00F02DF4" w:rsidP="000C349E">
      <w:pPr>
        <w:jc w:val="both"/>
        <w:rPr>
          <w:sz w:val="28"/>
          <w:szCs w:val="28"/>
        </w:rPr>
      </w:pPr>
    </w:p>
    <w:p w:rsidR="000C349E" w:rsidRPr="000C349E" w:rsidRDefault="000C349E" w:rsidP="000C349E">
      <w:pPr>
        <w:jc w:val="both"/>
        <w:rPr>
          <w:sz w:val="28"/>
          <w:szCs w:val="28"/>
        </w:rPr>
      </w:pPr>
    </w:p>
    <w:p w:rsidR="00F02DF4" w:rsidRPr="000C349E" w:rsidRDefault="00DF0B10" w:rsidP="000C349E">
      <w:pPr>
        <w:jc w:val="both"/>
        <w:rPr>
          <w:sz w:val="28"/>
          <w:szCs w:val="28"/>
        </w:rPr>
      </w:pPr>
      <w:r w:rsidRPr="000C349E">
        <w:rPr>
          <w:sz w:val="28"/>
          <w:szCs w:val="28"/>
        </w:rPr>
        <w:t>La Sala Tercera</w:t>
      </w:r>
      <w:r w:rsidR="00F02DF4" w:rsidRPr="000C349E">
        <w:rPr>
          <w:sz w:val="28"/>
          <w:szCs w:val="28"/>
        </w:rPr>
        <w:t xml:space="preserve"> de Revisión de la Corte Constitucional, integrada por los magistrados Alejandro Linares Cantillo, Antonio José Lizarazo Ocampo y Luis Guillermo Guerrero Pérez, quien la preside, en ejercicio de sus competencias constitucionales y legales, ha proferido la siguiente</w:t>
      </w:r>
    </w:p>
    <w:p w:rsidR="00F02DF4" w:rsidRPr="000C349E" w:rsidRDefault="00F02DF4" w:rsidP="000C349E">
      <w:pPr>
        <w:jc w:val="both"/>
        <w:rPr>
          <w:sz w:val="28"/>
          <w:szCs w:val="28"/>
        </w:rPr>
      </w:pPr>
    </w:p>
    <w:p w:rsidR="00F02DF4" w:rsidRPr="000C349E" w:rsidRDefault="00F02DF4" w:rsidP="000C349E">
      <w:pPr>
        <w:jc w:val="center"/>
        <w:rPr>
          <w:b/>
          <w:bCs/>
          <w:sz w:val="28"/>
          <w:szCs w:val="28"/>
        </w:rPr>
      </w:pPr>
      <w:r w:rsidRPr="000C349E">
        <w:rPr>
          <w:b/>
          <w:bCs/>
          <w:sz w:val="28"/>
          <w:szCs w:val="28"/>
        </w:rPr>
        <w:t>SENTENCIA</w:t>
      </w:r>
    </w:p>
    <w:p w:rsidR="00F02DF4" w:rsidRPr="000C349E" w:rsidRDefault="00F02DF4" w:rsidP="000C349E">
      <w:pPr>
        <w:jc w:val="both"/>
        <w:rPr>
          <w:sz w:val="28"/>
          <w:szCs w:val="28"/>
        </w:rPr>
      </w:pPr>
    </w:p>
    <w:p w:rsidR="00F02DF4" w:rsidRPr="000C349E" w:rsidRDefault="00F02DF4" w:rsidP="000C349E">
      <w:pPr>
        <w:jc w:val="both"/>
        <w:rPr>
          <w:sz w:val="28"/>
          <w:szCs w:val="28"/>
        </w:rPr>
      </w:pPr>
      <w:r w:rsidRPr="000C349E">
        <w:rPr>
          <w:sz w:val="28"/>
          <w:szCs w:val="28"/>
        </w:rPr>
        <w:t>En el proceso de revisión de los fallos</w:t>
      </w:r>
      <w:r w:rsidR="002A6DAF" w:rsidRPr="000C349E">
        <w:rPr>
          <w:sz w:val="28"/>
          <w:szCs w:val="28"/>
        </w:rPr>
        <w:t xml:space="preserve"> expedidos por el Juzga</w:t>
      </w:r>
      <w:r w:rsidR="00143560" w:rsidRPr="000C349E">
        <w:rPr>
          <w:sz w:val="28"/>
          <w:szCs w:val="28"/>
        </w:rPr>
        <w:t xml:space="preserve">do Veinte </w:t>
      </w:r>
      <w:r w:rsidR="002A6DAF" w:rsidRPr="000C349E">
        <w:rPr>
          <w:sz w:val="28"/>
          <w:szCs w:val="28"/>
        </w:rPr>
        <w:t>d</w:t>
      </w:r>
      <w:r w:rsidR="00143560" w:rsidRPr="000C349E">
        <w:rPr>
          <w:sz w:val="28"/>
          <w:szCs w:val="28"/>
        </w:rPr>
        <w:t>e Pequeñas Causas</w:t>
      </w:r>
      <w:r w:rsidR="00716651" w:rsidRPr="000C349E">
        <w:rPr>
          <w:sz w:val="28"/>
          <w:szCs w:val="28"/>
        </w:rPr>
        <w:t xml:space="preserve"> y Competencia Múltiple </w:t>
      </w:r>
      <w:r w:rsidR="00143560" w:rsidRPr="000C349E">
        <w:rPr>
          <w:sz w:val="28"/>
          <w:szCs w:val="28"/>
        </w:rPr>
        <w:t>de Bogotá</w:t>
      </w:r>
      <w:r w:rsidR="002A6DAF" w:rsidRPr="000C349E">
        <w:rPr>
          <w:sz w:val="28"/>
          <w:szCs w:val="28"/>
        </w:rPr>
        <w:t>, el 3 de agosto de 2018</w:t>
      </w:r>
      <w:r w:rsidRPr="000C349E">
        <w:rPr>
          <w:sz w:val="28"/>
          <w:szCs w:val="28"/>
        </w:rPr>
        <w:t>, y</w:t>
      </w:r>
      <w:r w:rsidR="002A6DAF" w:rsidRPr="000C349E">
        <w:rPr>
          <w:sz w:val="28"/>
          <w:szCs w:val="28"/>
        </w:rPr>
        <w:t xml:space="preserve"> por el Juzgado Quinto Civil del Circuito de la misma ciudad, el 11 de septiembre</w:t>
      </w:r>
      <w:r w:rsidR="00143560" w:rsidRPr="000C349E">
        <w:rPr>
          <w:sz w:val="28"/>
          <w:szCs w:val="28"/>
        </w:rPr>
        <w:t xml:space="preserve"> de la </w:t>
      </w:r>
      <w:r w:rsidR="00716651" w:rsidRPr="000C349E">
        <w:rPr>
          <w:sz w:val="28"/>
          <w:szCs w:val="28"/>
        </w:rPr>
        <w:t xml:space="preserve">referida </w:t>
      </w:r>
      <w:r w:rsidRPr="000C349E">
        <w:rPr>
          <w:sz w:val="28"/>
          <w:szCs w:val="28"/>
        </w:rPr>
        <w:t xml:space="preserve">anualidad, dentro del proceso de amparo de la referencia. </w:t>
      </w:r>
    </w:p>
    <w:p w:rsidR="00F02DF4" w:rsidRPr="000C349E" w:rsidRDefault="00F02DF4" w:rsidP="000C349E">
      <w:pPr>
        <w:jc w:val="both"/>
        <w:rPr>
          <w:sz w:val="28"/>
          <w:szCs w:val="28"/>
        </w:rPr>
      </w:pPr>
    </w:p>
    <w:p w:rsidR="00F02DF4" w:rsidRPr="000C349E" w:rsidRDefault="00F02DF4" w:rsidP="000C349E">
      <w:pPr>
        <w:jc w:val="both"/>
        <w:rPr>
          <w:b/>
          <w:sz w:val="28"/>
          <w:szCs w:val="28"/>
        </w:rPr>
      </w:pPr>
      <w:r w:rsidRPr="000C349E">
        <w:rPr>
          <w:b/>
          <w:sz w:val="28"/>
          <w:szCs w:val="28"/>
        </w:rPr>
        <w:t xml:space="preserve">I. ANTECEDENTES </w:t>
      </w:r>
    </w:p>
    <w:p w:rsidR="00F02DF4" w:rsidRPr="000C349E" w:rsidRDefault="00F02DF4" w:rsidP="000C349E">
      <w:pPr>
        <w:jc w:val="both"/>
        <w:rPr>
          <w:b/>
          <w:sz w:val="28"/>
          <w:szCs w:val="28"/>
        </w:rPr>
      </w:pPr>
    </w:p>
    <w:p w:rsidR="00F02DF4" w:rsidRPr="000C349E" w:rsidRDefault="00F02DF4" w:rsidP="000C349E">
      <w:pPr>
        <w:jc w:val="both"/>
        <w:rPr>
          <w:b/>
          <w:sz w:val="28"/>
          <w:szCs w:val="28"/>
        </w:rPr>
      </w:pPr>
      <w:r w:rsidRPr="000C349E">
        <w:rPr>
          <w:b/>
          <w:sz w:val="28"/>
          <w:szCs w:val="28"/>
        </w:rPr>
        <w:t>1. Hechos</w:t>
      </w:r>
    </w:p>
    <w:p w:rsidR="00F02DF4" w:rsidRPr="000C349E" w:rsidRDefault="00F02DF4" w:rsidP="000C349E">
      <w:pPr>
        <w:jc w:val="both"/>
        <w:rPr>
          <w:sz w:val="28"/>
          <w:szCs w:val="28"/>
        </w:rPr>
      </w:pPr>
    </w:p>
    <w:p w:rsidR="00C147D7" w:rsidRPr="000C349E" w:rsidRDefault="00716651" w:rsidP="000C349E">
      <w:pPr>
        <w:jc w:val="both"/>
        <w:rPr>
          <w:sz w:val="28"/>
          <w:szCs w:val="28"/>
        </w:rPr>
      </w:pPr>
      <w:r w:rsidRPr="000C349E">
        <w:rPr>
          <w:sz w:val="28"/>
          <w:szCs w:val="28"/>
        </w:rPr>
        <w:t xml:space="preserve">1.1. </w:t>
      </w:r>
      <w:r w:rsidR="00861D6F" w:rsidRPr="000C349E">
        <w:rPr>
          <w:sz w:val="28"/>
          <w:szCs w:val="28"/>
        </w:rPr>
        <w:t>Áng</w:t>
      </w:r>
      <w:r w:rsidR="00923FB6" w:rsidRPr="000C349E">
        <w:rPr>
          <w:sz w:val="28"/>
          <w:szCs w:val="28"/>
        </w:rPr>
        <w:t>el Abad</w:t>
      </w:r>
      <w:r w:rsidR="00143560" w:rsidRPr="000C349E">
        <w:rPr>
          <w:sz w:val="28"/>
          <w:szCs w:val="28"/>
        </w:rPr>
        <w:t xml:space="preserve"> Hoyos Fernández </w:t>
      </w:r>
      <w:r w:rsidR="00B72BF2" w:rsidRPr="000C349E">
        <w:rPr>
          <w:sz w:val="28"/>
          <w:szCs w:val="28"/>
        </w:rPr>
        <w:t>nació</w:t>
      </w:r>
      <w:r w:rsidRPr="000C349E">
        <w:rPr>
          <w:sz w:val="28"/>
          <w:szCs w:val="28"/>
        </w:rPr>
        <w:t xml:space="preserve"> el 14</w:t>
      </w:r>
      <w:r w:rsidR="00143560" w:rsidRPr="000C349E">
        <w:rPr>
          <w:sz w:val="28"/>
          <w:szCs w:val="28"/>
        </w:rPr>
        <w:t xml:space="preserve"> de </w:t>
      </w:r>
      <w:r w:rsidRPr="000C349E">
        <w:rPr>
          <w:sz w:val="28"/>
          <w:szCs w:val="28"/>
        </w:rPr>
        <w:t>octubre</w:t>
      </w:r>
      <w:r w:rsidR="00143560" w:rsidRPr="000C349E">
        <w:rPr>
          <w:sz w:val="28"/>
          <w:szCs w:val="28"/>
        </w:rPr>
        <w:t xml:space="preserve"> de 1968</w:t>
      </w:r>
      <w:r w:rsidR="002E710C" w:rsidRPr="000C349E">
        <w:rPr>
          <w:rStyle w:val="Refdenotaalpie"/>
          <w:sz w:val="28"/>
          <w:szCs w:val="28"/>
        </w:rPr>
        <w:footnoteReference w:id="1"/>
      </w:r>
      <w:r w:rsidR="00F16CDD" w:rsidRPr="000C349E">
        <w:rPr>
          <w:sz w:val="28"/>
          <w:szCs w:val="28"/>
        </w:rPr>
        <w:t xml:space="preserve">, </w:t>
      </w:r>
      <w:r w:rsidR="00C147D7" w:rsidRPr="000C349E">
        <w:rPr>
          <w:sz w:val="28"/>
          <w:szCs w:val="28"/>
        </w:rPr>
        <w:t xml:space="preserve">y </w:t>
      </w:r>
      <w:r w:rsidR="003415B9" w:rsidRPr="000C349E">
        <w:rPr>
          <w:sz w:val="28"/>
          <w:szCs w:val="28"/>
        </w:rPr>
        <w:t xml:space="preserve">desde el 9 de marzo de 2014 </w:t>
      </w:r>
      <w:r w:rsidR="00C147D7" w:rsidRPr="000C349E">
        <w:rPr>
          <w:sz w:val="28"/>
          <w:szCs w:val="28"/>
        </w:rPr>
        <w:t xml:space="preserve">se </w:t>
      </w:r>
      <w:r w:rsidR="00923FB6" w:rsidRPr="000C349E">
        <w:rPr>
          <w:sz w:val="28"/>
          <w:szCs w:val="28"/>
        </w:rPr>
        <w:t>encuentra afiliado</w:t>
      </w:r>
      <w:r w:rsidR="00C147D7" w:rsidRPr="000C349E">
        <w:rPr>
          <w:sz w:val="28"/>
          <w:szCs w:val="28"/>
        </w:rPr>
        <w:t xml:space="preserve"> al régimen subsidiado de salud por interm</w:t>
      </w:r>
      <w:r w:rsidRPr="000C349E">
        <w:rPr>
          <w:sz w:val="28"/>
          <w:szCs w:val="28"/>
        </w:rPr>
        <w:t xml:space="preserve">edio de </w:t>
      </w:r>
      <w:r w:rsidR="00C147D7" w:rsidRPr="000C349E">
        <w:rPr>
          <w:sz w:val="28"/>
          <w:szCs w:val="28"/>
        </w:rPr>
        <w:t>Famisanar</w:t>
      </w:r>
      <w:r w:rsidRPr="000C349E">
        <w:rPr>
          <w:sz w:val="28"/>
          <w:szCs w:val="28"/>
        </w:rPr>
        <w:t xml:space="preserve"> EPS</w:t>
      </w:r>
      <w:r w:rsidR="002E710C" w:rsidRPr="000C349E">
        <w:rPr>
          <w:rStyle w:val="Refdenotaalpie"/>
          <w:sz w:val="28"/>
          <w:szCs w:val="28"/>
        </w:rPr>
        <w:footnoteReference w:id="2"/>
      </w:r>
      <w:r w:rsidR="00C147D7" w:rsidRPr="000C349E">
        <w:rPr>
          <w:sz w:val="28"/>
          <w:szCs w:val="28"/>
        </w:rPr>
        <w:t>.</w:t>
      </w:r>
    </w:p>
    <w:p w:rsidR="002F0C9B" w:rsidRPr="000C349E" w:rsidRDefault="002F0C9B" w:rsidP="000C349E">
      <w:pPr>
        <w:ind w:left="720"/>
        <w:jc w:val="both"/>
        <w:rPr>
          <w:sz w:val="28"/>
          <w:szCs w:val="28"/>
        </w:rPr>
      </w:pPr>
    </w:p>
    <w:p w:rsidR="003415B9" w:rsidRPr="000C349E" w:rsidRDefault="00B72BF2" w:rsidP="000C349E">
      <w:pPr>
        <w:jc w:val="both"/>
        <w:rPr>
          <w:sz w:val="28"/>
          <w:szCs w:val="28"/>
        </w:rPr>
      </w:pPr>
      <w:r w:rsidRPr="000C349E">
        <w:rPr>
          <w:sz w:val="28"/>
          <w:szCs w:val="28"/>
        </w:rPr>
        <w:t>1.2.</w:t>
      </w:r>
      <w:r w:rsidR="003415B9" w:rsidRPr="000C349E">
        <w:rPr>
          <w:sz w:val="28"/>
          <w:szCs w:val="28"/>
        </w:rPr>
        <w:t xml:space="preserve"> El 19 de septiembre de 2015, con ocasión de un </w:t>
      </w:r>
      <w:r w:rsidR="009530A9" w:rsidRPr="000C349E">
        <w:rPr>
          <w:i/>
          <w:sz w:val="28"/>
          <w:szCs w:val="28"/>
        </w:rPr>
        <w:t>“</w:t>
      </w:r>
      <w:r w:rsidR="003415B9" w:rsidRPr="000C349E">
        <w:rPr>
          <w:i/>
          <w:sz w:val="28"/>
          <w:szCs w:val="28"/>
        </w:rPr>
        <w:t>evento cerebrovascular hemorrágico</w:t>
      </w:r>
      <w:r w:rsidR="00185AAB" w:rsidRPr="000C349E">
        <w:rPr>
          <w:i/>
          <w:sz w:val="28"/>
          <w:szCs w:val="28"/>
        </w:rPr>
        <w:t>”</w:t>
      </w:r>
      <w:r w:rsidR="00185AAB" w:rsidRPr="000C349E">
        <w:rPr>
          <w:sz w:val="28"/>
          <w:szCs w:val="28"/>
        </w:rPr>
        <w:t xml:space="preserve">, Ángel Abad Hoyos Fernández </w:t>
      </w:r>
      <w:r w:rsidR="008E4D7E" w:rsidRPr="000C349E">
        <w:rPr>
          <w:sz w:val="28"/>
          <w:szCs w:val="28"/>
        </w:rPr>
        <w:t>ingresó al Hospital E</w:t>
      </w:r>
      <w:r w:rsidR="003415B9" w:rsidRPr="000C349E">
        <w:rPr>
          <w:sz w:val="28"/>
          <w:szCs w:val="28"/>
        </w:rPr>
        <w:t>l Tunal</w:t>
      </w:r>
      <w:r w:rsidRPr="000C349E">
        <w:rPr>
          <w:sz w:val="28"/>
          <w:szCs w:val="28"/>
        </w:rPr>
        <w:t xml:space="preserve"> </w:t>
      </w:r>
      <w:r w:rsidR="003415B9" w:rsidRPr="000C349E">
        <w:rPr>
          <w:sz w:val="28"/>
          <w:szCs w:val="28"/>
        </w:rPr>
        <w:t>de la ciudad de Bogotá, en donde le fueron prestados los servicios médicos de urgencias a cargo de Famisanar EPS</w:t>
      </w:r>
      <w:r w:rsidR="00EF36D9" w:rsidRPr="000C349E">
        <w:rPr>
          <w:rStyle w:val="Refdenotaalpie"/>
          <w:sz w:val="28"/>
          <w:szCs w:val="28"/>
        </w:rPr>
        <w:footnoteReference w:id="3"/>
      </w:r>
      <w:r w:rsidR="003415B9" w:rsidRPr="000C349E">
        <w:rPr>
          <w:sz w:val="28"/>
          <w:szCs w:val="28"/>
        </w:rPr>
        <w:t>.</w:t>
      </w:r>
    </w:p>
    <w:p w:rsidR="003415B9" w:rsidRPr="000C349E" w:rsidRDefault="003415B9" w:rsidP="000C349E">
      <w:pPr>
        <w:jc w:val="both"/>
        <w:rPr>
          <w:sz w:val="28"/>
          <w:szCs w:val="28"/>
        </w:rPr>
      </w:pPr>
    </w:p>
    <w:p w:rsidR="003415B9" w:rsidRPr="000C349E" w:rsidRDefault="003415B9" w:rsidP="000C349E">
      <w:pPr>
        <w:jc w:val="both"/>
        <w:rPr>
          <w:sz w:val="28"/>
          <w:szCs w:val="28"/>
        </w:rPr>
      </w:pPr>
      <w:r w:rsidRPr="000C349E">
        <w:rPr>
          <w:sz w:val="28"/>
          <w:szCs w:val="28"/>
        </w:rPr>
        <w:t>1.3. El 29 de septiembre de</w:t>
      </w:r>
      <w:r w:rsidR="009530A9" w:rsidRPr="000C349E">
        <w:rPr>
          <w:sz w:val="28"/>
          <w:szCs w:val="28"/>
        </w:rPr>
        <w:t xml:space="preserve"> 2015, Ángel Abad Hoyos Fernández fue trasladado de </w:t>
      </w:r>
      <w:r w:rsidR="008E4D7E" w:rsidRPr="000C349E">
        <w:rPr>
          <w:sz w:val="28"/>
          <w:szCs w:val="28"/>
        </w:rPr>
        <w:t>la unidad de u</w:t>
      </w:r>
      <w:r w:rsidR="009530A9" w:rsidRPr="000C349E">
        <w:rPr>
          <w:sz w:val="28"/>
          <w:szCs w:val="28"/>
        </w:rPr>
        <w:t>rgencia</w:t>
      </w:r>
      <w:r w:rsidR="001907CA" w:rsidRPr="000C349E">
        <w:rPr>
          <w:sz w:val="28"/>
          <w:szCs w:val="28"/>
        </w:rPr>
        <w:t>s</w:t>
      </w:r>
      <w:r w:rsidR="008E4D7E" w:rsidRPr="000C349E">
        <w:rPr>
          <w:sz w:val="28"/>
          <w:szCs w:val="28"/>
        </w:rPr>
        <w:t xml:space="preserve"> del Hospital El Tunal a </w:t>
      </w:r>
      <w:r w:rsidR="009530A9" w:rsidRPr="000C349E">
        <w:rPr>
          <w:sz w:val="28"/>
          <w:szCs w:val="28"/>
        </w:rPr>
        <w:t>la Clínica Partenón</w:t>
      </w:r>
      <w:r w:rsidR="00885DE6" w:rsidRPr="000C349E">
        <w:rPr>
          <w:rStyle w:val="Refdenotaalpie"/>
          <w:sz w:val="28"/>
          <w:szCs w:val="28"/>
        </w:rPr>
        <w:footnoteReference w:id="4"/>
      </w:r>
      <w:r w:rsidR="009530A9" w:rsidRPr="000C349E">
        <w:rPr>
          <w:sz w:val="28"/>
          <w:szCs w:val="28"/>
        </w:rPr>
        <w:t xml:space="preserve">. </w:t>
      </w:r>
    </w:p>
    <w:p w:rsidR="009530A9" w:rsidRPr="000C349E" w:rsidRDefault="009530A9" w:rsidP="000C349E">
      <w:pPr>
        <w:jc w:val="both"/>
        <w:rPr>
          <w:sz w:val="28"/>
          <w:szCs w:val="28"/>
        </w:rPr>
      </w:pPr>
    </w:p>
    <w:p w:rsidR="001907CA" w:rsidRPr="000C349E" w:rsidRDefault="009530A9" w:rsidP="000C349E">
      <w:pPr>
        <w:jc w:val="both"/>
        <w:rPr>
          <w:sz w:val="28"/>
          <w:szCs w:val="28"/>
        </w:rPr>
      </w:pPr>
      <w:r w:rsidRPr="000C349E">
        <w:rPr>
          <w:sz w:val="28"/>
          <w:szCs w:val="28"/>
        </w:rPr>
        <w:t>1.4. El 13 de noviembre de 2015, ante la evoluci</w:t>
      </w:r>
      <w:r w:rsidR="001907CA" w:rsidRPr="000C349E">
        <w:rPr>
          <w:sz w:val="28"/>
          <w:szCs w:val="28"/>
        </w:rPr>
        <w:t xml:space="preserve">ón </w:t>
      </w:r>
      <w:r w:rsidRPr="000C349E">
        <w:rPr>
          <w:sz w:val="28"/>
          <w:szCs w:val="28"/>
        </w:rPr>
        <w:t xml:space="preserve">del estado de salud de Ángel Abad Hoyos Fernández, la Clínica Partenón le solicitó a Famisanar EPS que procediera a autorizar su traslado a una unidad de </w:t>
      </w:r>
      <w:r w:rsidR="001907CA" w:rsidRPr="000C349E">
        <w:rPr>
          <w:sz w:val="28"/>
          <w:szCs w:val="28"/>
        </w:rPr>
        <w:t>cuidados crónicos</w:t>
      </w:r>
      <w:r w:rsidR="00E30BBA" w:rsidRPr="000C349E">
        <w:rPr>
          <w:sz w:val="28"/>
          <w:szCs w:val="28"/>
        </w:rPr>
        <w:t xml:space="preserve"> según lo dispusieron los médicos tratantes</w:t>
      </w:r>
      <w:r w:rsidR="001907CA" w:rsidRPr="000C349E">
        <w:rPr>
          <w:sz w:val="28"/>
          <w:szCs w:val="28"/>
        </w:rPr>
        <w:t>, debido</w:t>
      </w:r>
      <w:r w:rsidR="008E4D7E" w:rsidRPr="000C349E">
        <w:rPr>
          <w:sz w:val="28"/>
          <w:szCs w:val="28"/>
        </w:rPr>
        <w:t>: (i)</w:t>
      </w:r>
      <w:r w:rsidR="001907CA" w:rsidRPr="000C349E">
        <w:rPr>
          <w:sz w:val="28"/>
          <w:szCs w:val="28"/>
        </w:rPr>
        <w:t xml:space="preserve"> a la imposibilidad de contactar a su</w:t>
      </w:r>
      <w:r w:rsidR="00150D0A" w:rsidRPr="000C349E">
        <w:rPr>
          <w:sz w:val="28"/>
          <w:szCs w:val="28"/>
        </w:rPr>
        <w:t>s</w:t>
      </w:r>
      <w:r w:rsidR="001907CA" w:rsidRPr="000C349E">
        <w:rPr>
          <w:sz w:val="28"/>
          <w:szCs w:val="28"/>
        </w:rPr>
        <w:t xml:space="preserve"> familia</w:t>
      </w:r>
      <w:r w:rsidR="00150D0A" w:rsidRPr="000C349E">
        <w:rPr>
          <w:sz w:val="28"/>
          <w:szCs w:val="28"/>
        </w:rPr>
        <w:t>res</w:t>
      </w:r>
      <w:r w:rsidR="00E30BBA" w:rsidRPr="000C349E">
        <w:rPr>
          <w:sz w:val="28"/>
          <w:szCs w:val="28"/>
        </w:rPr>
        <w:t xml:space="preserve"> para que asum</w:t>
      </w:r>
      <w:r w:rsidR="00150D0A" w:rsidRPr="000C349E">
        <w:rPr>
          <w:sz w:val="28"/>
          <w:szCs w:val="28"/>
        </w:rPr>
        <w:t>ieran</w:t>
      </w:r>
      <w:r w:rsidR="00E30BBA" w:rsidRPr="000C349E">
        <w:rPr>
          <w:sz w:val="28"/>
          <w:szCs w:val="28"/>
        </w:rPr>
        <w:t xml:space="preserve"> su cuidado domiciliario</w:t>
      </w:r>
      <w:r w:rsidR="008E4D7E" w:rsidRPr="000C349E">
        <w:rPr>
          <w:sz w:val="28"/>
          <w:szCs w:val="28"/>
        </w:rPr>
        <w:t xml:space="preserve">, </w:t>
      </w:r>
      <w:r w:rsidR="001907CA" w:rsidRPr="000C349E">
        <w:rPr>
          <w:sz w:val="28"/>
          <w:szCs w:val="28"/>
        </w:rPr>
        <w:t xml:space="preserve">y </w:t>
      </w:r>
      <w:r w:rsidR="008E4D7E" w:rsidRPr="000C349E">
        <w:rPr>
          <w:sz w:val="28"/>
          <w:szCs w:val="28"/>
        </w:rPr>
        <w:t xml:space="preserve">(ii) </w:t>
      </w:r>
      <w:r w:rsidR="00E30BBA" w:rsidRPr="000C349E">
        <w:rPr>
          <w:sz w:val="28"/>
          <w:szCs w:val="28"/>
        </w:rPr>
        <w:t xml:space="preserve">a </w:t>
      </w:r>
      <w:r w:rsidR="001907CA" w:rsidRPr="000C349E">
        <w:rPr>
          <w:sz w:val="28"/>
          <w:szCs w:val="28"/>
        </w:rPr>
        <w:t>la inexistencia de un programa público del que pudiera beneficiarse</w:t>
      </w:r>
      <w:r w:rsidR="00885DE6" w:rsidRPr="000C349E">
        <w:rPr>
          <w:rStyle w:val="Refdenotaalpie"/>
          <w:sz w:val="28"/>
          <w:szCs w:val="28"/>
        </w:rPr>
        <w:footnoteReference w:id="5"/>
      </w:r>
      <w:r w:rsidR="001907CA" w:rsidRPr="000C349E">
        <w:rPr>
          <w:sz w:val="28"/>
          <w:szCs w:val="28"/>
        </w:rPr>
        <w:t xml:space="preserve">. </w:t>
      </w:r>
    </w:p>
    <w:p w:rsidR="00431FFA" w:rsidRPr="000C349E" w:rsidRDefault="00431FFA" w:rsidP="000C349E">
      <w:pPr>
        <w:jc w:val="both"/>
        <w:rPr>
          <w:sz w:val="28"/>
          <w:szCs w:val="28"/>
        </w:rPr>
      </w:pPr>
    </w:p>
    <w:p w:rsidR="00431FFA" w:rsidRPr="000C349E" w:rsidRDefault="00431FFA" w:rsidP="000C349E">
      <w:pPr>
        <w:jc w:val="both"/>
        <w:rPr>
          <w:sz w:val="28"/>
          <w:szCs w:val="28"/>
        </w:rPr>
      </w:pPr>
      <w:r w:rsidRPr="000C349E">
        <w:rPr>
          <w:sz w:val="28"/>
          <w:szCs w:val="28"/>
        </w:rPr>
        <w:t>1.5. El 20 de noviembre de 2015, Jenny Mireya Rodríguez, actuando como agente oficiosa de Ángel Abad Hoyos Fernández</w:t>
      </w:r>
      <w:r w:rsidR="00092854" w:rsidRPr="000C349E">
        <w:rPr>
          <w:sz w:val="28"/>
          <w:szCs w:val="28"/>
        </w:rPr>
        <w:t xml:space="preserve"> y asistente jurídica de la Clínica Partenón</w:t>
      </w:r>
      <w:r w:rsidRPr="000C349E">
        <w:rPr>
          <w:sz w:val="28"/>
          <w:szCs w:val="28"/>
        </w:rPr>
        <w:t xml:space="preserve">, interpuso acción de tutela en contra de Famisanar EPS, pretendiendo que ante la situación de abandono social de su prohijado, se </w:t>
      </w:r>
      <w:r w:rsidR="00410170" w:rsidRPr="000C349E">
        <w:rPr>
          <w:sz w:val="28"/>
          <w:szCs w:val="28"/>
        </w:rPr>
        <w:t>protegiera su derecho a la salud mediante la adopción de</w:t>
      </w:r>
      <w:r w:rsidRPr="000C349E">
        <w:rPr>
          <w:sz w:val="28"/>
          <w:szCs w:val="28"/>
        </w:rPr>
        <w:t xml:space="preserve"> las medidas pertinentes para garantizar que fuera trasladado a una institución especializada que le prestara los cuidados </w:t>
      </w:r>
      <w:r w:rsidR="00253CE8" w:rsidRPr="000C349E">
        <w:rPr>
          <w:sz w:val="28"/>
          <w:szCs w:val="28"/>
        </w:rPr>
        <w:t xml:space="preserve">en salud requeridos para </w:t>
      </w:r>
      <w:r w:rsidRPr="000C349E">
        <w:rPr>
          <w:sz w:val="28"/>
          <w:szCs w:val="28"/>
        </w:rPr>
        <w:t xml:space="preserve">la atención de las secuelas </w:t>
      </w:r>
      <w:r w:rsidR="00253CE8" w:rsidRPr="000C349E">
        <w:rPr>
          <w:sz w:val="28"/>
          <w:szCs w:val="28"/>
        </w:rPr>
        <w:t>crónicas derivadas de</w:t>
      </w:r>
      <w:r w:rsidRPr="000C349E">
        <w:rPr>
          <w:sz w:val="28"/>
          <w:szCs w:val="28"/>
        </w:rPr>
        <w:t>l</w:t>
      </w:r>
      <w:r w:rsidR="00253CE8" w:rsidRPr="000C349E">
        <w:rPr>
          <w:sz w:val="28"/>
          <w:szCs w:val="28"/>
        </w:rPr>
        <w:t xml:space="preserve"> referido</w:t>
      </w:r>
      <w:r w:rsidRPr="000C349E">
        <w:rPr>
          <w:sz w:val="28"/>
          <w:szCs w:val="28"/>
        </w:rPr>
        <w:t xml:space="preserve"> evento cerebrovascular hemorrágico</w:t>
      </w:r>
      <w:r w:rsidRPr="000C349E">
        <w:rPr>
          <w:rStyle w:val="Refdenotaalpie"/>
          <w:sz w:val="28"/>
          <w:szCs w:val="28"/>
        </w:rPr>
        <w:footnoteReference w:id="6"/>
      </w:r>
      <w:r w:rsidRPr="000C349E">
        <w:rPr>
          <w:sz w:val="28"/>
          <w:szCs w:val="28"/>
        </w:rPr>
        <w:t>.</w:t>
      </w:r>
    </w:p>
    <w:p w:rsidR="00431FFA" w:rsidRPr="000C349E" w:rsidRDefault="00431FFA" w:rsidP="000C349E">
      <w:pPr>
        <w:jc w:val="both"/>
        <w:rPr>
          <w:sz w:val="28"/>
          <w:szCs w:val="28"/>
        </w:rPr>
      </w:pPr>
    </w:p>
    <w:p w:rsidR="00431FFA" w:rsidRPr="000C349E" w:rsidRDefault="00431FFA" w:rsidP="000C349E">
      <w:pPr>
        <w:jc w:val="both"/>
        <w:rPr>
          <w:sz w:val="28"/>
          <w:szCs w:val="28"/>
        </w:rPr>
      </w:pPr>
      <w:r w:rsidRPr="000C349E">
        <w:rPr>
          <w:sz w:val="28"/>
          <w:szCs w:val="28"/>
        </w:rPr>
        <w:t xml:space="preserve">1.6. </w:t>
      </w:r>
      <w:r w:rsidR="00410170" w:rsidRPr="000C349E">
        <w:rPr>
          <w:sz w:val="28"/>
          <w:szCs w:val="28"/>
        </w:rPr>
        <w:t>A través de</w:t>
      </w:r>
      <w:r w:rsidRPr="000C349E">
        <w:rPr>
          <w:sz w:val="28"/>
          <w:szCs w:val="28"/>
        </w:rPr>
        <w:t xml:space="preserve"> </w:t>
      </w:r>
      <w:r w:rsidR="00410170" w:rsidRPr="000C349E">
        <w:rPr>
          <w:sz w:val="28"/>
          <w:szCs w:val="28"/>
        </w:rPr>
        <w:t xml:space="preserve">las </w:t>
      </w:r>
      <w:r w:rsidRPr="000C349E">
        <w:rPr>
          <w:sz w:val="28"/>
          <w:szCs w:val="28"/>
        </w:rPr>
        <w:t>sentencias del 2 de diciembre de 2015</w:t>
      </w:r>
      <w:r w:rsidRPr="000C349E">
        <w:rPr>
          <w:rStyle w:val="Refdenotaalpie"/>
          <w:sz w:val="28"/>
          <w:szCs w:val="28"/>
        </w:rPr>
        <w:footnoteReference w:id="7"/>
      </w:r>
      <w:r w:rsidRPr="000C349E">
        <w:rPr>
          <w:sz w:val="28"/>
          <w:szCs w:val="28"/>
        </w:rPr>
        <w:t xml:space="preserve"> y del 1 de febrero de 2016</w:t>
      </w:r>
      <w:r w:rsidRPr="000C349E">
        <w:rPr>
          <w:rStyle w:val="Refdenotaalpie"/>
          <w:sz w:val="28"/>
          <w:szCs w:val="28"/>
        </w:rPr>
        <w:footnoteReference w:id="8"/>
      </w:r>
      <w:r w:rsidRPr="000C349E">
        <w:rPr>
          <w:sz w:val="28"/>
          <w:szCs w:val="28"/>
        </w:rPr>
        <w:t xml:space="preserve">, en primera y segunda instancia respectivamente, los Juzgados 38 Civil Municipal y 20 Civil de Circuito de Bogotá ampararon los derechos fundamentales de Ángel Abad Hoyos Fernández, y le ordenaron </w:t>
      </w:r>
      <w:r w:rsidR="002D5923" w:rsidRPr="000C349E">
        <w:rPr>
          <w:sz w:val="28"/>
          <w:szCs w:val="28"/>
        </w:rPr>
        <w:t>a Famisanar EPS que</w:t>
      </w:r>
      <w:r w:rsidR="00253CE8" w:rsidRPr="000C349E">
        <w:rPr>
          <w:sz w:val="28"/>
          <w:szCs w:val="28"/>
        </w:rPr>
        <w:t xml:space="preserve">: </w:t>
      </w:r>
      <w:r w:rsidR="001E1433" w:rsidRPr="000C349E">
        <w:rPr>
          <w:sz w:val="28"/>
          <w:szCs w:val="28"/>
        </w:rPr>
        <w:t>(i) s</w:t>
      </w:r>
      <w:r w:rsidRPr="000C349E">
        <w:rPr>
          <w:sz w:val="28"/>
          <w:szCs w:val="28"/>
        </w:rPr>
        <w:t>i la Secretaría Distrital de Integración Social de Bogotá no contaba con u</w:t>
      </w:r>
      <w:r w:rsidR="001E1433" w:rsidRPr="000C349E">
        <w:rPr>
          <w:sz w:val="28"/>
          <w:szCs w:val="28"/>
        </w:rPr>
        <w:t>n programa especializado para la</w:t>
      </w:r>
      <w:r w:rsidRPr="000C349E">
        <w:rPr>
          <w:sz w:val="28"/>
          <w:szCs w:val="28"/>
        </w:rPr>
        <w:t xml:space="preserve"> atención</w:t>
      </w:r>
      <w:r w:rsidR="001E1433" w:rsidRPr="000C349E">
        <w:rPr>
          <w:sz w:val="28"/>
          <w:szCs w:val="28"/>
        </w:rPr>
        <w:t xml:space="preserve"> del accionante</w:t>
      </w:r>
      <w:r w:rsidRPr="000C349E">
        <w:rPr>
          <w:sz w:val="28"/>
          <w:szCs w:val="28"/>
        </w:rPr>
        <w:t>, debía “</w:t>
      </w:r>
      <w:r w:rsidRPr="000C349E">
        <w:rPr>
          <w:i/>
          <w:sz w:val="28"/>
          <w:szCs w:val="28"/>
        </w:rPr>
        <w:t>remitirlo a una institución de cuidados crónicos</w:t>
      </w:r>
      <w:r w:rsidR="001E1433" w:rsidRPr="000C349E">
        <w:rPr>
          <w:i/>
          <w:sz w:val="28"/>
          <w:szCs w:val="28"/>
        </w:rPr>
        <w:t>”</w:t>
      </w:r>
      <w:r w:rsidR="001E1433" w:rsidRPr="000C349E">
        <w:rPr>
          <w:sz w:val="28"/>
          <w:szCs w:val="28"/>
        </w:rPr>
        <w:t>;</w:t>
      </w:r>
      <w:r w:rsidRPr="000C349E">
        <w:rPr>
          <w:sz w:val="28"/>
          <w:szCs w:val="28"/>
        </w:rPr>
        <w:t xml:space="preserve"> </w:t>
      </w:r>
      <w:r w:rsidR="001E1433" w:rsidRPr="000C349E">
        <w:rPr>
          <w:sz w:val="28"/>
          <w:szCs w:val="28"/>
        </w:rPr>
        <w:t xml:space="preserve">así como (ii) </w:t>
      </w:r>
      <w:r w:rsidR="002D5923" w:rsidRPr="000C349E">
        <w:rPr>
          <w:sz w:val="28"/>
          <w:szCs w:val="28"/>
        </w:rPr>
        <w:t>garantizarle el tratamiento “</w:t>
      </w:r>
      <w:r w:rsidR="002D5923" w:rsidRPr="000C349E">
        <w:rPr>
          <w:i/>
          <w:sz w:val="28"/>
          <w:szCs w:val="28"/>
        </w:rPr>
        <w:t>integral que necesite el paciente para el tratamiento de sus patologías (…) consistentes en secuelas de enfermedad cerebrovascular no especificada”.</w:t>
      </w:r>
      <w:r w:rsidR="0093595F" w:rsidRPr="000C349E">
        <w:rPr>
          <w:sz w:val="28"/>
          <w:szCs w:val="28"/>
        </w:rPr>
        <w:t xml:space="preserve"> </w:t>
      </w:r>
    </w:p>
    <w:p w:rsidR="002D5923" w:rsidRPr="000C349E" w:rsidRDefault="002D5923" w:rsidP="000C349E">
      <w:pPr>
        <w:jc w:val="both"/>
        <w:rPr>
          <w:sz w:val="28"/>
          <w:szCs w:val="28"/>
        </w:rPr>
      </w:pPr>
    </w:p>
    <w:p w:rsidR="00C147D7" w:rsidRPr="000C349E" w:rsidRDefault="00431FFA" w:rsidP="000C349E">
      <w:pPr>
        <w:jc w:val="both"/>
        <w:rPr>
          <w:sz w:val="28"/>
          <w:szCs w:val="28"/>
        </w:rPr>
      </w:pPr>
      <w:r w:rsidRPr="000C349E">
        <w:rPr>
          <w:sz w:val="28"/>
          <w:szCs w:val="28"/>
        </w:rPr>
        <w:t>1.7</w:t>
      </w:r>
      <w:r w:rsidR="00150D0A" w:rsidRPr="000C349E">
        <w:rPr>
          <w:sz w:val="28"/>
          <w:szCs w:val="28"/>
        </w:rPr>
        <w:t>. E</w:t>
      </w:r>
      <w:r w:rsidR="00C147D7" w:rsidRPr="000C349E">
        <w:rPr>
          <w:sz w:val="28"/>
          <w:szCs w:val="28"/>
        </w:rPr>
        <w:t>l 17 de diciembre de 2015</w:t>
      </w:r>
      <w:r w:rsidR="00CF4AE9" w:rsidRPr="000C349E">
        <w:rPr>
          <w:sz w:val="28"/>
          <w:szCs w:val="28"/>
        </w:rPr>
        <w:t>,</w:t>
      </w:r>
      <w:r w:rsidR="00C147D7" w:rsidRPr="000C349E">
        <w:rPr>
          <w:sz w:val="28"/>
          <w:szCs w:val="28"/>
        </w:rPr>
        <w:t xml:space="preserve"> </w:t>
      </w:r>
      <w:r w:rsidRPr="000C349E">
        <w:rPr>
          <w:sz w:val="28"/>
          <w:szCs w:val="28"/>
        </w:rPr>
        <w:t xml:space="preserve">en cumplimiento del fallo de primera instancia, </w:t>
      </w:r>
      <w:r w:rsidR="003415B9" w:rsidRPr="000C349E">
        <w:rPr>
          <w:sz w:val="28"/>
          <w:szCs w:val="28"/>
        </w:rPr>
        <w:t xml:space="preserve">por disposición de Famisanar EPS, </w:t>
      </w:r>
      <w:r w:rsidR="009C79FD" w:rsidRPr="000C349E">
        <w:rPr>
          <w:sz w:val="28"/>
          <w:szCs w:val="28"/>
        </w:rPr>
        <w:t>Ángel</w:t>
      </w:r>
      <w:r w:rsidR="00C147D7" w:rsidRPr="000C349E">
        <w:rPr>
          <w:sz w:val="28"/>
          <w:szCs w:val="28"/>
        </w:rPr>
        <w:t xml:space="preserve"> </w:t>
      </w:r>
      <w:r w:rsidR="00923FB6" w:rsidRPr="000C349E">
        <w:rPr>
          <w:sz w:val="28"/>
          <w:szCs w:val="28"/>
        </w:rPr>
        <w:t>Abad</w:t>
      </w:r>
      <w:r w:rsidR="00C147D7" w:rsidRPr="000C349E">
        <w:rPr>
          <w:sz w:val="28"/>
          <w:szCs w:val="28"/>
        </w:rPr>
        <w:t xml:space="preserve"> Hoyos </w:t>
      </w:r>
      <w:r w:rsidR="009C79FD" w:rsidRPr="000C349E">
        <w:rPr>
          <w:sz w:val="28"/>
          <w:szCs w:val="28"/>
        </w:rPr>
        <w:t>Fernánd</w:t>
      </w:r>
      <w:r w:rsidR="00143560" w:rsidRPr="000C349E">
        <w:rPr>
          <w:sz w:val="28"/>
          <w:szCs w:val="28"/>
        </w:rPr>
        <w:t xml:space="preserve">ez </w:t>
      </w:r>
      <w:r w:rsidR="009C79FD" w:rsidRPr="000C349E">
        <w:rPr>
          <w:sz w:val="28"/>
          <w:szCs w:val="28"/>
        </w:rPr>
        <w:t xml:space="preserve">fue </w:t>
      </w:r>
      <w:r w:rsidR="003415B9" w:rsidRPr="000C349E">
        <w:rPr>
          <w:sz w:val="28"/>
          <w:szCs w:val="28"/>
        </w:rPr>
        <w:t>trasladado</w:t>
      </w:r>
      <w:r w:rsidR="00953166" w:rsidRPr="000C349E">
        <w:rPr>
          <w:sz w:val="28"/>
          <w:szCs w:val="28"/>
        </w:rPr>
        <w:t xml:space="preserve"> </w:t>
      </w:r>
      <w:r w:rsidR="00150D0A" w:rsidRPr="000C349E">
        <w:rPr>
          <w:sz w:val="28"/>
          <w:szCs w:val="28"/>
        </w:rPr>
        <w:t xml:space="preserve">de la Clínica Partenón </w:t>
      </w:r>
      <w:r w:rsidR="00953166" w:rsidRPr="000C349E">
        <w:rPr>
          <w:sz w:val="28"/>
          <w:szCs w:val="28"/>
        </w:rPr>
        <w:t xml:space="preserve">a </w:t>
      </w:r>
      <w:r w:rsidR="00CF4AE9" w:rsidRPr="000C349E">
        <w:rPr>
          <w:sz w:val="28"/>
          <w:szCs w:val="28"/>
        </w:rPr>
        <w:t>Proseguir</w:t>
      </w:r>
      <w:r w:rsidR="00716651" w:rsidRPr="000C349E">
        <w:rPr>
          <w:sz w:val="28"/>
          <w:szCs w:val="28"/>
        </w:rPr>
        <w:t xml:space="preserve"> IPS</w:t>
      </w:r>
      <w:r w:rsidR="009C79FD" w:rsidRPr="000C349E">
        <w:rPr>
          <w:sz w:val="28"/>
          <w:szCs w:val="28"/>
        </w:rPr>
        <w:t xml:space="preserve">, </w:t>
      </w:r>
      <w:r w:rsidR="00716651" w:rsidRPr="000C349E">
        <w:rPr>
          <w:sz w:val="28"/>
          <w:szCs w:val="28"/>
        </w:rPr>
        <w:t xml:space="preserve">con el propósito </w:t>
      </w:r>
      <w:r w:rsidR="009C79FD" w:rsidRPr="000C349E">
        <w:rPr>
          <w:sz w:val="28"/>
          <w:szCs w:val="28"/>
        </w:rPr>
        <w:t xml:space="preserve">de </w:t>
      </w:r>
      <w:r w:rsidR="00150D0A" w:rsidRPr="000C349E">
        <w:rPr>
          <w:sz w:val="28"/>
          <w:szCs w:val="28"/>
        </w:rPr>
        <w:t xml:space="preserve">que le fuera prestada </w:t>
      </w:r>
      <w:r w:rsidR="00953166" w:rsidRPr="000C349E">
        <w:rPr>
          <w:sz w:val="28"/>
          <w:szCs w:val="28"/>
        </w:rPr>
        <w:t>la atención</w:t>
      </w:r>
      <w:r w:rsidR="00716651" w:rsidRPr="000C349E">
        <w:rPr>
          <w:sz w:val="28"/>
          <w:szCs w:val="28"/>
        </w:rPr>
        <w:t xml:space="preserve"> necesaria </w:t>
      </w:r>
      <w:r w:rsidR="009C79FD" w:rsidRPr="000C349E">
        <w:rPr>
          <w:sz w:val="28"/>
          <w:szCs w:val="28"/>
        </w:rPr>
        <w:t>para</w:t>
      </w:r>
      <w:r w:rsidR="00EF56F2" w:rsidRPr="000C349E">
        <w:rPr>
          <w:sz w:val="28"/>
          <w:szCs w:val="28"/>
        </w:rPr>
        <w:t xml:space="preserve"> </w:t>
      </w:r>
      <w:r w:rsidR="00150D0A" w:rsidRPr="000C349E">
        <w:rPr>
          <w:sz w:val="28"/>
          <w:szCs w:val="28"/>
        </w:rPr>
        <w:t>atender</w:t>
      </w:r>
      <w:r w:rsidR="00EF56F2" w:rsidRPr="000C349E">
        <w:rPr>
          <w:sz w:val="28"/>
          <w:szCs w:val="28"/>
        </w:rPr>
        <w:t xml:space="preserve"> </w:t>
      </w:r>
      <w:r w:rsidR="009C79FD" w:rsidRPr="000C349E">
        <w:rPr>
          <w:sz w:val="28"/>
          <w:szCs w:val="28"/>
        </w:rPr>
        <w:t xml:space="preserve">las </w:t>
      </w:r>
      <w:r w:rsidR="00953166" w:rsidRPr="000C349E">
        <w:rPr>
          <w:sz w:val="28"/>
          <w:szCs w:val="28"/>
        </w:rPr>
        <w:t>secuelas de</w:t>
      </w:r>
      <w:r w:rsidR="00EF56F2" w:rsidRPr="000C349E">
        <w:rPr>
          <w:sz w:val="28"/>
          <w:szCs w:val="28"/>
        </w:rPr>
        <w:t>l mencionado</w:t>
      </w:r>
      <w:r w:rsidR="009C79FD" w:rsidRPr="000C349E">
        <w:rPr>
          <w:sz w:val="28"/>
          <w:szCs w:val="28"/>
        </w:rPr>
        <w:t xml:space="preserve"> evento</w:t>
      </w:r>
      <w:r w:rsidR="00953166" w:rsidRPr="000C349E">
        <w:rPr>
          <w:sz w:val="28"/>
          <w:szCs w:val="28"/>
        </w:rPr>
        <w:t xml:space="preserve"> cerebrovascular hemorrágico</w:t>
      </w:r>
      <w:r w:rsidR="00EF56F2" w:rsidRPr="000C349E">
        <w:rPr>
          <w:rStyle w:val="Refdenotaalpie"/>
          <w:sz w:val="28"/>
          <w:szCs w:val="28"/>
        </w:rPr>
        <w:footnoteReference w:id="9"/>
      </w:r>
      <w:r w:rsidR="009C79FD" w:rsidRPr="000C349E">
        <w:rPr>
          <w:sz w:val="28"/>
          <w:szCs w:val="28"/>
        </w:rPr>
        <w:t>.</w:t>
      </w:r>
    </w:p>
    <w:p w:rsidR="002F0C9B" w:rsidRPr="000C349E" w:rsidRDefault="002F0C9B" w:rsidP="000C349E">
      <w:pPr>
        <w:jc w:val="both"/>
        <w:rPr>
          <w:sz w:val="28"/>
          <w:szCs w:val="28"/>
        </w:rPr>
      </w:pPr>
    </w:p>
    <w:p w:rsidR="009C79FD" w:rsidRPr="000C349E" w:rsidRDefault="00431FFA" w:rsidP="000C349E">
      <w:pPr>
        <w:jc w:val="both"/>
        <w:rPr>
          <w:sz w:val="28"/>
          <w:szCs w:val="28"/>
        </w:rPr>
      </w:pPr>
      <w:r w:rsidRPr="000C349E">
        <w:rPr>
          <w:sz w:val="28"/>
          <w:szCs w:val="28"/>
        </w:rPr>
        <w:lastRenderedPageBreak/>
        <w:t>1.8</w:t>
      </w:r>
      <w:r w:rsidR="00953166" w:rsidRPr="000C349E">
        <w:rPr>
          <w:sz w:val="28"/>
          <w:szCs w:val="28"/>
        </w:rPr>
        <w:t xml:space="preserve">. </w:t>
      </w:r>
      <w:r w:rsidR="009C79FD" w:rsidRPr="000C349E">
        <w:rPr>
          <w:sz w:val="28"/>
          <w:szCs w:val="28"/>
        </w:rPr>
        <w:t>El 26 de diciembre</w:t>
      </w:r>
      <w:r w:rsidR="00EE6D5E" w:rsidRPr="000C349E">
        <w:rPr>
          <w:sz w:val="28"/>
          <w:szCs w:val="28"/>
        </w:rPr>
        <w:t xml:space="preserve"> de 2015, los médicos tratantes </w:t>
      </w:r>
      <w:r w:rsidR="00C5039B" w:rsidRPr="000C349E">
        <w:rPr>
          <w:sz w:val="28"/>
          <w:szCs w:val="28"/>
        </w:rPr>
        <w:t xml:space="preserve">de Proseguir IPS </w:t>
      </w:r>
      <w:r w:rsidR="00EE6D5E" w:rsidRPr="000C349E">
        <w:rPr>
          <w:sz w:val="28"/>
          <w:szCs w:val="28"/>
        </w:rPr>
        <w:t xml:space="preserve">dictaminaron que Ángel Abad Hoyos Fernández </w:t>
      </w:r>
      <w:r w:rsidR="009C79FD" w:rsidRPr="000C349E">
        <w:rPr>
          <w:sz w:val="28"/>
          <w:szCs w:val="28"/>
        </w:rPr>
        <w:t xml:space="preserve">debía seguir su proceso de recuperación bajo la modalidad de hospitalización </w:t>
      </w:r>
      <w:r w:rsidR="00150D0A" w:rsidRPr="000C349E">
        <w:rPr>
          <w:sz w:val="28"/>
          <w:szCs w:val="28"/>
        </w:rPr>
        <w:t>en casa</w:t>
      </w:r>
      <w:r w:rsidR="009C79FD" w:rsidRPr="000C349E">
        <w:rPr>
          <w:sz w:val="28"/>
          <w:szCs w:val="28"/>
        </w:rPr>
        <w:t xml:space="preserve">, </w:t>
      </w:r>
      <w:r w:rsidR="00EE6D5E" w:rsidRPr="000C349E">
        <w:rPr>
          <w:sz w:val="28"/>
          <w:szCs w:val="28"/>
        </w:rPr>
        <w:t xml:space="preserve">al advertir que </w:t>
      </w:r>
      <w:r w:rsidR="00F22BA9" w:rsidRPr="000C349E">
        <w:rPr>
          <w:sz w:val="28"/>
          <w:szCs w:val="28"/>
        </w:rPr>
        <w:t xml:space="preserve">no </w:t>
      </w:r>
      <w:r w:rsidR="000947DB" w:rsidRPr="000C349E">
        <w:rPr>
          <w:sz w:val="28"/>
          <w:szCs w:val="28"/>
        </w:rPr>
        <w:t>requería</w:t>
      </w:r>
      <w:r w:rsidR="00F22BA9" w:rsidRPr="000C349E">
        <w:rPr>
          <w:sz w:val="28"/>
          <w:szCs w:val="28"/>
        </w:rPr>
        <w:t xml:space="preserve"> atención clínica especializada,</w:t>
      </w:r>
      <w:r w:rsidR="00EE6D5E" w:rsidRPr="000C349E">
        <w:rPr>
          <w:sz w:val="28"/>
          <w:szCs w:val="28"/>
        </w:rPr>
        <w:t xml:space="preserve"> sino </w:t>
      </w:r>
      <w:r w:rsidR="006912E1" w:rsidRPr="000C349E">
        <w:rPr>
          <w:sz w:val="28"/>
          <w:szCs w:val="28"/>
        </w:rPr>
        <w:t xml:space="preserve">de </w:t>
      </w:r>
      <w:r w:rsidR="00EE6D5E" w:rsidRPr="000C349E">
        <w:rPr>
          <w:sz w:val="28"/>
          <w:szCs w:val="28"/>
        </w:rPr>
        <w:t>un cuidador que lo apoye</w:t>
      </w:r>
      <w:r w:rsidR="00F22BA9" w:rsidRPr="000C349E">
        <w:rPr>
          <w:sz w:val="28"/>
          <w:szCs w:val="28"/>
        </w:rPr>
        <w:t xml:space="preserve"> en la realización de las actividades básicas </w:t>
      </w:r>
      <w:r w:rsidR="000947DB" w:rsidRPr="000C349E">
        <w:rPr>
          <w:sz w:val="28"/>
          <w:szCs w:val="28"/>
        </w:rPr>
        <w:t>cotidianas</w:t>
      </w:r>
      <w:r w:rsidR="000947DB" w:rsidRPr="000C349E">
        <w:rPr>
          <w:rStyle w:val="Refdenotaalpie"/>
          <w:sz w:val="28"/>
          <w:szCs w:val="28"/>
        </w:rPr>
        <w:footnoteReference w:id="10"/>
      </w:r>
      <w:r w:rsidR="000947DB" w:rsidRPr="000C349E">
        <w:rPr>
          <w:sz w:val="28"/>
          <w:szCs w:val="28"/>
        </w:rPr>
        <w:t>.</w:t>
      </w:r>
    </w:p>
    <w:p w:rsidR="002F0C9B" w:rsidRPr="000C349E" w:rsidRDefault="002F0C9B" w:rsidP="000C349E">
      <w:pPr>
        <w:ind w:left="720"/>
        <w:jc w:val="both"/>
        <w:rPr>
          <w:sz w:val="28"/>
          <w:szCs w:val="28"/>
        </w:rPr>
      </w:pPr>
    </w:p>
    <w:p w:rsidR="00B85828" w:rsidRPr="000C349E" w:rsidRDefault="00431FFA" w:rsidP="000C349E">
      <w:pPr>
        <w:jc w:val="both"/>
        <w:rPr>
          <w:sz w:val="28"/>
          <w:szCs w:val="28"/>
        </w:rPr>
      </w:pPr>
      <w:r w:rsidRPr="000C349E">
        <w:rPr>
          <w:sz w:val="28"/>
          <w:szCs w:val="28"/>
        </w:rPr>
        <w:t>1.9</w:t>
      </w:r>
      <w:r w:rsidR="009F4BBB" w:rsidRPr="000C349E">
        <w:rPr>
          <w:sz w:val="28"/>
          <w:szCs w:val="28"/>
        </w:rPr>
        <w:t>.</w:t>
      </w:r>
      <w:r w:rsidR="00B85828" w:rsidRPr="000C349E">
        <w:rPr>
          <w:sz w:val="28"/>
          <w:szCs w:val="28"/>
        </w:rPr>
        <w:t xml:space="preserve"> A través de peticiones presentadas el </w:t>
      </w:r>
      <w:r w:rsidR="00332740" w:rsidRPr="000C349E">
        <w:rPr>
          <w:sz w:val="28"/>
          <w:szCs w:val="28"/>
        </w:rPr>
        <w:t>8</w:t>
      </w:r>
      <w:r w:rsidR="00B85828" w:rsidRPr="000C349E">
        <w:rPr>
          <w:sz w:val="28"/>
          <w:szCs w:val="28"/>
        </w:rPr>
        <w:t xml:space="preserve"> de marzo y el 26 de mayo de 2016</w:t>
      </w:r>
      <w:r w:rsidR="00332740" w:rsidRPr="000C349E">
        <w:rPr>
          <w:rStyle w:val="Refdenotaalpie"/>
          <w:sz w:val="28"/>
          <w:szCs w:val="28"/>
        </w:rPr>
        <w:footnoteReference w:id="11"/>
      </w:r>
      <w:r w:rsidR="00B85828" w:rsidRPr="000C349E">
        <w:rPr>
          <w:sz w:val="28"/>
          <w:szCs w:val="28"/>
        </w:rPr>
        <w:t>, Proseguir IPS le solicitó a la Secretaría Distrital de Integración Social de Bogotá que, ante la imposibilidad de ubicar a la familia de Ángel Abad Hoyos Fernández para concretar su egreso hospitalario, procediera a incluirlo en los programas públicos de atención interna a personas en situación de abandono social.</w:t>
      </w:r>
    </w:p>
    <w:p w:rsidR="00B85828" w:rsidRPr="000C349E" w:rsidRDefault="00B85828" w:rsidP="000C349E">
      <w:pPr>
        <w:jc w:val="both"/>
        <w:rPr>
          <w:sz w:val="28"/>
          <w:szCs w:val="28"/>
        </w:rPr>
      </w:pPr>
    </w:p>
    <w:p w:rsidR="00332740" w:rsidRPr="000C349E" w:rsidRDefault="00B85828" w:rsidP="000C349E">
      <w:pPr>
        <w:jc w:val="both"/>
        <w:rPr>
          <w:sz w:val="28"/>
          <w:szCs w:val="28"/>
        </w:rPr>
      </w:pPr>
      <w:r w:rsidRPr="000C349E">
        <w:rPr>
          <w:sz w:val="28"/>
          <w:szCs w:val="28"/>
        </w:rPr>
        <w:t xml:space="preserve">1.10. El 20 de junio de 2016, la Secretaría Distrital de Integración Social de Bogotá le informó a Proseguir IPS que dentro de los programas de la ciudad para atención de personas en situación </w:t>
      </w:r>
      <w:r w:rsidR="00457716" w:rsidRPr="000C349E">
        <w:rPr>
          <w:sz w:val="28"/>
          <w:szCs w:val="28"/>
        </w:rPr>
        <w:t>vulnerabilidad</w:t>
      </w:r>
      <w:r w:rsidRPr="000C349E">
        <w:rPr>
          <w:sz w:val="28"/>
          <w:szCs w:val="28"/>
        </w:rPr>
        <w:t>, ninguno contemplaba los servicios requeridos por Ángel Abad Hoyos Fernández</w:t>
      </w:r>
      <w:r w:rsidR="00457716" w:rsidRPr="000C349E">
        <w:rPr>
          <w:sz w:val="28"/>
          <w:szCs w:val="28"/>
        </w:rPr>
        <w:t>, puesto que no pertenece a la tercera edad, ni</w:t>
      </w:r>
      <w:r w:rsidR="00332740" w:rsidRPr="000C349E">
        <w:rPr>
          <w:sz w:val="28"/>
          <w:szCs w:val="28"/>
        </w:rPr>
        <w:t xml:space="preserve"> puede considerase como un sujeto en situación de discapacidad</w:t>
      </w:r>
      <w:r w:rsidR="001E1433" w:rsidRPr="000C349E">
        <w:rPr>
          <w:sz w:val="28"/>
          <w:szCs w:val="28"/>
        </w:rPr>
        <w:t xml:space="preserve"> permanente</w:t>
      </w:r>
      <w:r w:rsidR="004012EA" w:rsidRPr="000C349E">
        <w:rPr>
          <w:sz w:val="28"/>
          <w:szCs w:val="28"/>
        </w:rPr>
        <w:t>, en tanto que se trata de un paciente en recuperación de una enfermedad</w:t>
      </w:r>
      <w:r w:rsidR="00332740" w:rsidRPr="000C349E">
        <w:rPr>
          <w:rStyle w:val="Refdenotaalpie"/>
          <w:sz w:val="28"/>
          <w:szCs w:val="28"/>
        </w:rPr>
        <w:footnoteReference w:id="12"/>
      </w:r>
      <w:r w:rsidR="00332740" w:rsidRPr="000C349E">
        <w:rPr>
          <w:sz w:val="28"/>
          <w:szCs w:val="28"/>
        </w:rPr>
        <w:t>.</w:t>
      </w:r>
      <w:r w:rsidR="004012EA" w:rsidRPr="000C349E">
        <w:rPr>
          <w:sz w:val="28"/>
          <w:szCs w:val="28"/>
        </w:rPr>
        <w:t xml:space="preserve"> </w:t>
      </w:r>
    </w:p>
    <w:p w:rsidR="004012EA" w:rsidRPr="000C349E" w:rsidRDefault="004012EA" w:rsidP="000C349E">
      <w:pPr>
        <w:jc w:val="both"/>
        <w:rPr>
          <w:sz w:val="28"/>
          <w:szCs w:val="28"/>
        </w:rPr>
      </w:pPr>
    </w:p>
    <w:p w:rsidR="0091782A" w:rsidRPr="000C349E" w:rsidRDefault="0091782A" w:rsidP="000C349E">
      <w:pPr>
        <w:jc w:val="both"/>
        <w:rPr>
          <w:sz w:val="28"/>
          <w:szCs w:val="28"/>
        </w:rPr>
      </w:pPr>
      <w:r w:rsidRPr="000C349E">
        <w:rPr>
          <w:sz w:val="28"/>
          <w:szCs w:val="28"/>
        </w:rPr>
        <w:t>1.11. En septiembre de 2017, Proseguir IPS puso en conocimiento de la Personería de Bogotá y de la Defensoría del Pueblo la situación de Ángel Abad Hoyos Fernández</w:t>
      </w:r>
      <w:r w:rsidR="001E1433" w:rsidRPr="000C349E">
        <w:rPr>
          <w:sz w:val="28"/>
          <w:szCs w:val="28"/>
        </w:rPr>
        <w:t>,</w:t>
      </w:r>
      <w:r w:rsidR="00983ECA" w:rsidRPr="000C349E">
        <w:rPr>
          <w:sz w:val="28"/>
          <w:szCs w:val="28"/>
        </w:rPr>
        <w:t xml:space="preserve"> con el fin de obtener asesoría </w:t>
      </w:r>
      <w:r w:rsidR="00AD0B51" w:rsidRPr="000C349E">
        <w:rPr>
          <w:sz w:val="28"/>
          <w:szCs w:val="28"/>
        </w:rPr>
        <w:t xml:space="preserve">para </w:t>
      </w:r>
      <w:r w:rsidR="001E1433" w:rsidRPr="000C349E">
        <w:rPr>
          <w:sz w:val="28"/>
          <w:szCs w:val="28"/>
        </w:rPr>
        <w:t>el manejo de su</w:t>
      </w:r>
      <w:r w:rsidR="00AD0B51" w:rsidRPr="000C349E">
        <w:rPr>
          <w:sz w:val="28"/>
          <w:szCs w:val="28"/>
        </w:rPr>
        <w:t xml:space="preserve"> </w:t>
      </w:r>
      <w:r w:rsidR="00983ECA" w:rsidRPr="000C349E">
        <w:rPr>
          <w:sz w:val="28"/>
          <w:szCs w:val="28"/>
        </w:rPr>
        <w:t>caso</w:t>
      </w:r>
      <w:r w:rsidR="00332740" w:rsidRPr="000C349E">
        <w:rPr>
          <w:rStyle w:val="Refdenotaalpie"/>
          <w:sz w:val="28"/>
          <w:szCs w:val="28"/>
        </w:rPr>
        <w:footnoteReference w:id="13"/>
      </w:r>
      <w:r w:rsidRPr="000C349E">
        <w:rPr>
          <w:sz w:val="28"/>
          <w:szCs w:val="28"/>
        </w:rPr>
        <w:t xml:space="preserve">. </w:t>
      </w:r>
    </w:p>
    <w:p w:rsidR="0091782A" w:rsidRPr="000C349E" w:rsidRDefault="0091782A" w:rsidP="000C349E">
      <w:pPr>
        <w:jc w:val="both"/>
        <w:rPr>
          <w:sz w:val="28"/>
          <w:szCs w:val="28"/>
        </w:rPr>
      </w:pPr>
    </w:p>
    <w:p w:rsidR="00983ECA" w:rsidRPr="000C349E" w:rsidRDefault="0091782A" w:rsidP="000C349E">
      <w:pPr>
        <w:jc w:val="both"/>
        <w:rPr>
          <w:sz w:val="28"/>
          <w:szCs w:val="28"/>
        </w:rPr>
      </w:pPr>
      <w:r w:rsidRPr="000C349E">
        <w:rPr>
          <w:sz w:val="28"/>
          <w:szCs w:val="28"/>
        </w:rPr>
        <w:t>1.12. Mediante oficios del 3 y del 13 de octubre de 2017</w:t>
      </w:r>
      <w:r w:rsidR="00332740" w:rsidRPr="000C349E">
        <w:rPr>
          <w:rStyle w:val="Refdenotaalpie"/>
          <w:sz w:val="28"/>
          <w:szCs w:val="28"/>
        </w:rPr>
        <w:footnoteReference w:id="14"/>
      </w:r>
      <w:r w:rsidRPr="000C349E">
        <w:rPr>
          <w:sz w:val="28"/>
          <w:szCs w:val="28"/>
        </w:rPr>
        <w:t xml:space="preserve">, la Personería de Bogotá y de la Defensoría del Pueblo </w:t>
      </w:r>
      <w:r w:rsidR="00AD0B51" w:rsidRPr="000C349E">
        <w:rPr>
          <w:sz w:val="28"/>
          <w:szCs w:val="28"/>
        </w:rPr>
        <w:t xml:space="preserve">asesoraron </w:t>
      </w:r>
      <w:r w:rsidRPr="000C349E">
        <w:rPr>
          <w:sz w:val="28"/>
          <w:szCs w:val="28"/>
        </w:rPr>
        <w:t>a Proseguir IPS</w:t>
      </w:r>
      <w:r w:rsidR="00AD0B51" w:rsidRPr="000C349E">
        <w:rPr>
          <w:sz w:val="28"/>
          <w:szCs w:val="28"/>
        </w:rPr>
        <w:t>, informándole</w:t>
      </w:r>
      <w:r w:rsidRPr="000C349E">
        <w:rPr>
          <w:sz w:val="28"/>
          <w:szCs w:val="28"/>
        </w:rPr>
        <w:t xml:space="preserve"> que</w:t>
      </w:r>
      <w:r w:rsidR="00AD0B51" w:rsidRPr="000C349E">
        <w:rPr>
          <w:sz w:val="28"/>
          <w:szCs w:val="28"/>
        </w:rPr>
        <w:t>:</w:t>
      </w:r>
      <w:r w:rsidRPr="000C349E">
        <w:rPr>
          <w:sz w:val="28"/>
          <w:szCs w:val="28"/>
        </w:rPr>
        <w:t xml:space="preserve"> (i) el abandono social es una clase de violencia intrafamiliar y</w:t>
      </w:r>
      <w:r w:rsidR="00983ECA" w:rsidRPr="000C349E">
        <w:rPr>
          <w:sz w:val="28"/>
          <w:szCs w:val="28"/>
        </w:rPr>
        <w:t xml:space="preserve"> que</w:t>
      </w:r>
      <w:r w:rsidRPr="000C349E">
        <w:rPr>
          <w:sz w:val="28"/>
          <w:szCs w:val="28"/>
        </w:rPr>
        <w:t>, por ello, el caso de</w:t>
      </w:r>
      <w:r w:rsidR="00F46788" w:rsidRPr="000C349E">
        <w:rPr>
          <w:sz w:val="28"/>
          <w:szCs w:val="28"/>
        </w:rPr>
        <w:t xml:space="preserve"> Ángel Abad</w:t>
      </w:r>
      <w:r w:rsidRPr="000C349E">
        <w:rPr>
          <w:sz w:val="28"/>
          <w:szCs w:val="28"/>
        </w:rPr>
        <w:t xml:space="preserve"> Hoyos Fernández fue remitid</w:t>
      </w:r>
      <w:r w:rsidR="00983ECA" w:rsidRPr="000C349E">
        <w:rPr>
          <w:sz w:val="28"/>
          <w:szCs w:val="28"/>
        </w:rPr>
        <w:t>o</w:t>
      </w:r>
      <w:r w:rsidRPr="000C349E">
        <w:rPr>
          <w:sz w:val="28"/>
          <w:szCs w:val="28"/>
        </w:rPr>
        <w:t xml:space="preserve"> a la red de comisarias del Distrito Capital para lo de su competencia</w:t>
      </w:r>
      <w:r w:rsidR="001010DF" w:rsidRPr="000C349E">
        <w:rPr>
          <w:rStyle w:val="Refdenotaalpie"/>
          <w:sz w:val="28"/>
          <w:szCs w:val="28"/>
        </w:rPr>
        <w:footnoteReference w:id="15"/>
      </w:r>
      <w:r w:rsidRPr="000C349E">
        <w:rPr>
          <w:sz w:val="28"/>
          <w:szCs w:val="28"/>
        </w:rPr>
        <w:t>; así como que (ii) lo</w:t>
      </w:r>
      <w:r w:rsidR="001010DF" w:rsidRPr="000C349E">
        <w:rPr>
          <w:sz w:val="28"/>
          <w:szCs w:val="28"/>
        </w:rPr>
        <w:t xml:space="preserve">s servicios médicos que requiere </w:t>
      </w:r>
      <w:r w:rsidRPr="000C349E">
        <w:rPr>
          <w:sz w:val="28"/>
          <w:szCs w:val="28"/>
        </w:rPr>
        <w:t xml:space="preserve">el </w:t>
      </w:r>
      <w:r w:rsidR="00983ECA" w:rsidRPr="000C349E">
        <w:rPr>
          <w:sz w:val="28"/>
          <w:szCs w:val="28"/>
        </w:rPr>
        <w:t xml:space="preserve">referido ciudadano </w:t>
      </w:r>
      <w:r w:rsidRPr="000C349E">
        <w:rPr>
          <w:sz w:val="28"/>
          <w:szCs w:val="28"/>
        </w:rPr>
        <w:t xml:space="preserve">deben </w:t>
      </w:r>
      <w:r w:rsidR="00983ECA" w:rsidRPr="000C349E">
        <w:rPr>
          <w:sz w:val="28"/>
          <w:szCs w:val="28"/>
        </w:rPr>
        <w:t xml:space="preserve">ser </w:t>
      </w:r>
      <w:r w:rsidRPr="000C349E">
        <w:rPr>
          <w:sz w:val="28"/>
          <w:szCs w:val="28"/>
        </w:rPr>
        <w:t xml:space="preserve">cubiertos por Famisanar EPS. </w:t>
      </w:r>
    </w:p>
    <w:p w:rsidR="00983ECA" w:rsidRPr="000C349E" w:rsidRDefault="00983ECA" w:rsidP="000C349E">
      <w:pPr>
        <w:jc w:val="both"/>
        <w:rPr>
          <w:sz w:val="28"/>
          <w:szCs w:val="28"/>
        </w:rPr>
      </w:pPr>
    </w:p>
    <w:p w:rsidR="006E127E" w:rsidRPr="000C349E" w:rsidRDefault="003A2DDA" w:rsidP="000C349E">
      <w:pPr>
        <w:jc w:val="both"/>
        <w:rPr>
          <w:sz w:val="28"/>
          <w:szCs w:val="28"/>
        </w:rPr>
      </w:pPr>
      <w:r w:rsidRPr="000C349E">
        <w:rPr>
          <w:sz w:val="28"/>
          <w:szCs w:val="28"/>
        </w:rPr>
        <w:t>1.1</w:t>
      </w:r>
      <w:r w:rsidR="00BF4F01" w:rsidRPr="000C349E">
        <w:rPr>
          <w:sz w:val="28"/>
          <w:szCs w:val="28"/>
        </w:rPr>
        <w:t>3</w:t>
      </w:r>
      <w:r w:rsidRPr="000C349E">
        <w:rPr>
          <w:sz w:val="28"/>
          <w:szCs w:val="28"/>
        </w:rPr>
        <w:t xml:space="preserve">. El 3 de mayo de 2018, Proseguir IPS le solicitó a Famisanar EPS que </w:t>
      </w:r>
      <w:r w:rsidR="006E127E" w:rsidRPr="000C349E">
        <w:rPr>
          <w:sz w:val="28"/>
          <w:szCs w:val="28"/>
        </w:rPr>
        <w:t>determinara</w:t>
      </w:r>
      <w:r w:rsidRPr="000C349E">
        <w:rPr>
          <w:sz w:val="28"/>
          <w:szCs w:val="28"/>
        </w:rPr>
        <w:t xml:space="preserve"> el grado de discapacidad de </w:t>
      </w:r>
      <w:r w:rsidR="00F46788" w:rsidRPr="000C349E">
        <w:rPr>
          <w:sz w:val="28"/>
          <w:szCs w:val="28"/>
        </w:rPr>
        <w:t>Ángel Abad</w:t>
      </w:r>
      <w:r w:rsidRPr="000C349E">
        <w:rPr>
          <w:sz w:val="28"/>
          <w:szCs w:val="28"/>
        </w:rPr>
        <w:t xml:space="preserve"> Hoyos Fernández</w:t>
      </w:r>
      <w:r w:rsidR="006E127E" w:rsidRPr="000C349E">
        <w:rPr>
          <w:sz w:val="28"/>
          <w:szCs w:val="28"/>
        </w:rPr>
        <w:t xml:space="preserve"> a efectos de </w:t>
      </w:r>
      <w:r w:rsidR="00AD0B51" w:rsidRPr="000C349E">
        <w:rPr>
          <w:sz w:val="28"/>
          <w:szCs w:val="28"/>
        </w:rPr>
        <w:t>que pueda beneficiarse de las prerrogativas contemplada</w:t>
      </w:r>
      <w:r w:rsidR="006E127E" w:rsidRPr="000C349E">
        <w:rPr>
          <w:sz w:val="28"/>
          <w:szCs w:val="28"/>
        </w:rPr>
        <w:t>s en la ley para las personas en situación de discapacidad</w:t>
      </w:r>
      <w:r w:rsidR="001010DF" w:rsidRPr="000C349E">
        <w:rPr>
          <w:sz w:val="28"/>
          <w:szCs w:val="28"/>
        </w:rPr>
        <w:t xml:space="preserve"> permanente</w:t>
      </w:r>
      <w:r w:rsidR="00332740" w:rsidRPr="000C349E">
        <w:rPr>
          <w:rStyle w:val="Refdenotaalpie"/>
          <w:sz w:val="28"/>
          <w:szCs w:val="28"/>
        </w:rPr>
        <w:footnoteReference w:id="16"/>
      </w:r>
      <w:r w:rsidR="00BF4F01" w:rsidRPr="000C349E">
        <w:rPr>
          <w:sz w:val="28"/>
          <w:szCs w:val="28"/>
        </w:rPr>
        <w:t xml:space="preserve">. Sin embargo, para el momento de la interposición de la acción de tutela </w:t>
      </w:r>
      <w:r w:rsidR="00AD0B51" w:rsidRPr="000C349E">
        <w:rPr>
          <w:sz w:val="28"/>
          <w:szCs w:val="28"/>
        </w:rPr>
        <w:t xml:space="preserve">de la referencia, </w:t>
      </w:r>
      <w:r w:rsidR="00BF4F01" w:rsidRPr="000C349E">
        <w:rPr>
          <w:sz w:val="28"/>
          <w:szCs w:val="28"/>
        </w:rPr>
        <w:t xml:space="preserve">tal requerimiento no había sido </w:t>
      </w:r>
      <w:r w:rsidR="00AD0B51" w:rsidRPr="000C349E">
        <w:rPr>
          <w:sz w:val="28"/>
          <w:szCs w:val="28"/>
        </w:rPr>
        <w:t>atendido</w:t>
      </w:r>
      <w:r w:rsidR="00BF4F01" w:rsidRPr="000C349E">
        <w:rPr>
          <w:sz w:val="28"/>
          <w:szCs w:val="28"/>
        </w:rPr>
        <w:t xml:space="preserve">. </w:t>
      </w:r>
    </w:p>
    <w:p w:rsidR="002D5E30" w:rsidRPr="000C349E" w:rsidRDefault="002D5E30" w:rsidP="000C349E">
      <w:pPr>
        <w:jc w:val="both"/>
        <w:rPr>
          <w:sz w:val="28"/>
          <w:szCs w:val="28"/>
        </w:rPr>
      </w:pPr>
    </w:p>
    <w:p w:rsidR="00F02DF4" w:rsidRPr="000C349E" w:rsidRDefault="00F02DF4" w:rsidP="000C349E">
      <w:pPr>
        <w:jc w:val="both"/>
        <w:rPr>
          <w:b/>
          <w:sz w:val="28"/>
          <w:szCs w:val="28"/>
        </w:rPr>
      </w:pPr>
      <w:r w:rsidRPr="000C349E">
        <w:rPr>
          <w:b/>
          <w:sz w:val="28"/>
          <w:szCs w:val="28"/>
        </w:rPr>
        <w:t>2. Demanda y pretensiones</w:t>
      </w:r>
    </w:p>
    <w:p w:rsidR="00F02DF4" w:rsidRPr="000C349E" w:rsidRDefault="00F02DF4" w:rsidP="000C349E">
      <w:pPr>
        <w:jc w:val="both"/>
        <w:rPr>
          <w:b/>
          <w:sz w:val="28"/>
          <w:szCs w:val="28"/>
          <w:lang w:val="es-CO"/>
        </w:rPr>
      </w:pPr>
    </w:p>
    <w:p w:rsidR="00B40FE4" w:rsidRPr="000C349E" w:rsidRDefault="00AE2C0B" w:rsidP="000C349E">
      <w:pPr>
        <w:jc w:val="both"/>
        <w:rPr>
          <w:sz w:val="28"/>
          <w:szCs w:val="28"/>
        </w:rPr>
      </w:pPr>
      <w:r w:rsidRPr="000C349E">
        <w:rPr>
          <w:sz w:val="28"/>
          <w:szCs w:val="28"/>
          <w:lang w:val="es-CO"/>
        </w:rPr>
        <w:lastRenderedPageBreak/>
        <w:t xml:space="preserve">2.1. </w:t>
      </w:r>
      <w:r w:rsidR="006E127E" w:rsidRPr="000C349E">
        <w:rPr>
          <w:sz w:val="28"/>
          <w:szCs w:val="28"/>
          <w:lang w:val="es-CO"/>
        </w:rPr>
        <w:t>E</w:t>
      </w:r>
      <w:r w:rsidR="00BF4F01" w:rsidRPr="000C349E">
        <w:rPr>
          <w:sz w:val="28"/>
          <w:szCs w:val="28"/>
          <w:lang w:val="es-CO"/>
        </w:rPr>
        <w:t>l 23 de</w:t>
      </w:r>
      <w:r w:rsidRPr="000C349E">
        <w:rPr>
          <w:sz w:val="28"/>
          <w:szCs w:val="28"/>
          <w:lang w:val="es-CO"/>
        </w:rPr>
        <w:t xml:space="preserve"> julio de 2018</w:t>
      </w:r>
      <w:r w:rsidR="00F02DF4" w:rsidRPr="000C349E">
        <w:rPr>
          <w:rStyle w:val="Refdenotaalpie"/>
          <w:rFonts w:eastAsia="SimSun"/>
          <w:sz w:val="28"/>
          <w:szCs w:val="28"/>
        </w:rPr>
        <w:footnoteReference w:id="17"/>
      </w:r>
      <w:r w:rsidR="00F02DF4" w:rsidRPr="000C349E">
        <w:rPr>
          <w:sz w:val="28"/>
          <w:szCs w:val="28"/>
          <w:lang w:val="es-CO"/>
        </w:rPr>
        <w:t xml:space="preserve">, </w:t>
      </w:r>
      <w:r w:rsidR="00B84D27" w:rsidRPr="000C349E">
        <w:rPr>
          <w:sz w:val="28"/>
          <w:szCs w:val="28"/>
          <w:lang w:val="es-CO"/>
        </w:rPr>
        <w:t xml:space="preserve">la representante legal de Proseguir IPS </w:t>
      </w:r>
      <w:r w:rsidRPr="000C349E">
        <w:rPr>
          <w:sz w:val="28"/>
          <w:szCs w:val="28"/>
        </w:rPr>
        <w:t>Ginna Rocío García Parra</w:t>
      </w:r>
      <w:r w:rsidR="00F02DF4" w:rsidRPr="000C349E">
        <w:rPr>
          <w:sz w:val="28"/>
          <w:szCs w:val="28"/>
        </w:rPr>
        <w:t>, actuand</w:t>
      </w:r>
      <w:r w:rsidRPr="000C349E">
        <w:rPr>
          <w:sz w:val="28"/>
          <w:szCs w:val="28"/>
        </w:rPr>
        <w:t xml:space="preserve">o como agente oficiosa de </w:t>
      </w:r>
      <w:r w:rsidR="002E6E34" w:rsidRPr="000C349E">
        <w:rPr>
          <w:sz w:val="28"/>
          <w:szCs w:val="28"/>
        </w:rPr>
        <w:t>Ángel</w:t>
      </w:r>
      <w:r w:rsidRPr="000C349E">
        <w:rPr>
          <w:sz w:val="28"/>
          <w:szCs w:val="28"/>
        </w:rPr>
        <w:t xml:space="preserve"> </w:t>
      </w:r>
      <w:r w:rsidR="00923FB6" w:rsidRPr="000C349E">
        <w:rPr>
          <w:sz w:val="28"/>
          <w:szCs w:val="28"/>
        </w:rPr>
        <w:t>Abad</w:t>
      </w:r>
      <w:r w:rsidRPr="000C349E">
        <w:rPr>
          <w:sz w:val="28"/>
          <w:szCs w:val="28"/>
        </w:rPr>
        <w:t xml:space="preserve"> Hoyos </w:t>
      </w:r>
      <w:r w:rsidR="00B40FE4" w:rsidRPr="000C349E">
        <w:rPr>
          <w:sz w:val="28"/>
          <w:szCs w:val="28"/>
        </w:rPr>
        <w:t>Fernández</w:t>
      </w:r>
      <w:r w:rsidR="00A5698A" w:rsidRPr="000C349E">
        <w:rPr>
          <w:sz w:val="28"/>
          <w:szCs w:val="28"/>
        </w:rPr>
        <w:t xml:space="preserve">, interpuso </w:t>
      </w:r>
      <w:r w:rsidR="00F02DF4" w:rsidRPr="000C349E">
        <w:rPr>
          <w:sz w:val="28"/>
          <w:szCs w:val="28"/>
        </w:rPr>
        <w:t>acción de tutela</w:t>
      </w:r>
      <w:r w:rsidR="009E546C" w:rsidRPr="000C349E">
        <w:rPr>
          <w:sz w:val="28"/>
          <w:szCs w:val="28"/>
        </w:rPr>
        <w:t xml:space="preserve"> </w:t>
      </w:r>
      <w:r w:rsidR="00537F73" w:rsidRPr="000C349E">
        <w:rPr>
          <w:sz w:val="28"/>
          <w:szCs w:val="28"/>
        </w:rPr>
        <w:t xml:space="preserve">en contra de María del Pilar </w:t>
      </w:r>
      <w:r w:rsidR="00F971E4" w:rsidRPr="000C349E">
        <w:rPr>
          <w:sz w:val="28"/>
          <w:szCs w:val="28"/>
        </w:rPr>
        <w:t>Jiménez Rodríguez, José Domingo</w:t>
      </w:r>
      <w:r w:rsidR="00AB4A88" w:rsidRPr="000C349E">
        <w:rPr>
          <w:sz w:val="28"/>
          <w:szCs w:val="28"/>
        </w:rPr>
        <w:t xml:space="preserve"> Martínez Rincón</w:t>
      </w:r>
      <w:r w:rsidR="00537F73" w:rsidRPr="000C349E">
        <w:rPr>
          <w:sz w:val="28"/>
          <w:szCs w:val="28"/>
        </w:rPr>
        <w:t xml:space="preserve">, Jenny Mireya Rodríguez, Paula Andrea Jiménez Rodríguez e Isabella Hoyos Jiménez, en su calidad de </w:t>
      </w:r>
      <w:r w:rsidR="006452C8" w:rsidRPr="000C349E">
        <w:rPr>
          <w:sz w:val="28"/>
          <w:szCs w:val="28"/>
        </w:rPr>
        <w:t>parientes</w:t>
      </w:r>
      <w:r w:rsidR="00B40FE4" w:rsidRPr="000C349E">
        <w:rPr>
          <w:sz w:val="28"/>
          <w:szCs w:val="28"/>
        </w:rPr>
        <w:t xml:space="preserve"> de su prohija</w:t>
      </w:r>
      <w:r w:rsidR="00B84D27" w:rsidRPr="000C349E">
        <w:rPr>
          <w:sz w:val="28"/>
          <w:szCs w:val="28"/>
        </w:rPr>
        <w:t>do, al considerar vulnerado</w:t>
      </w:r>
      <w:r w:rsidR="00687CAD" w:rsidRPr="000C349E">
        <w:rPr>
          <w:sz w:val="28"/>
          <w:szCs w:val="28"/>
        </w:rPr>
        <w:t>s</w:t>
      </w:r>
      <w:r w:rsidR="003D62EC" w:rsidRPr="000C349E">
        <w:rPr>
          <w:sz w:val="28"/>
          <w:szCs w:val="28"/>
        </w:rPr>
        <w:t xml:space="preserve"> su</w:t>
      </w:r>
      <w:r w:rsidR="00687CAD" w:rsidRPr="000C349E">
        <w:rPr>
          <w:sz w:val="28"/>
          <w:szCs w:val="28"/>
        </w:rPr>
        <w:t>s</w:t>
      </w:r>
      <w:r w:rsidR="00B40FE4" w:rsidRPr="000C349E">
        <w:rPr>
          <w:sz w:val="28"/>
          <w:szCs w:val="28"/>
        </w:rPr>
        <w:t xml:space="preserve"> derecho</w:t>
      </w:r>
      <w:r w:rsidR="00687CAD" w:rsidRPr="000C349E">
        <w:rPr>
          <w:sz w:val="28"/>
          <w:szCs w:val="28"/>
        </w:rPr>
        <w:t>s</w:t>
      </w:r>
      <w:r w:rsidR="00B40FE4" w:rsidRPr="000C349E">
        <w:rPr>
          <w:sz w:val="28"/>
          <w:szCs w:val="28"/>
        </w:rPr>
        <w:t xml:space="preserve"> fundamental</w:t>
      </w:r>
      <w:r w:rsidR="00687CAD" w:rsidRPr="000C349E">
        <w:rPr>
          <w:sz w:val="28"/>
          <w:szCs w:val="28"/>
        </w:rPr>
        <w:t>es</w:t>
      </w:r>
      <w:r w:rsidR="00B40FE4" w:rsidRPr="000C349E">
        <w:rPr>
          <w:sz w:val="28"/>
          <w:szCs w:val="28"/>
        </w:rPr>
        <w:t xml:space="preserve"> a la vida digna</w:t>
      </w:r>
      <w:r w:rsidR="00687CAD" w:rsidRPr="000C349E">
        <w:rPr>
          <w:sz w:val="28"/>
          <w:szCs w:val="28"/>
        </w:rPr>
        <w:t xml:space="preserve"> y a la </w:t>
      </w:r>
      <w:r w:rsidR="006452C8" w:rsidRPr="000C349E">
        <w:rPr>
          <w:sz w:val="28"/>
          <w:szCs w:val="28"/>
        </w:rPr>
        <w:t>asistencia familiar</w:t>
      </w:r>
      <w:r w:rsidR="00B40FE4" w:rsidRPr="000C349E">
        <w:rPr>
          <w:sz w:val="28"/>
          <w:szCs w:val="28"/>
        </w:rPr>
        <w:t>, debido a que ha</w:t>
      </w:r>
      <w:r w:rsidR="00BA1E33" w:rsidRPr="000C349E">
        <w:rPr>
          <w:sz w:val="28"/>
          <w:szCs w:val="28"/>
        </w:rPr>
        <w:t>n omitido adelantar las actuaciones necesarias para garantizar</w:t>
      </w:r>
      <w:r w:rsidR="00B84D27" w:rsidRPr="000C349E">
        <w:rPr>
          <w:sz w:val="28"/>
          <w:szCs w:val="28"/>
        </w:rPr>
        <w:t xml:space="preserve"> </w:t>
      </w:r>
      <w:r w:rsidR="006452C8" w:rsidRPr="000C349E">
        <w:rPr>
          <w:sz w:val="28"/>
          <w:szCs w:val="28"/>
        </w:rPr>
        <w:t xml:space="preserve">el egreso </w:t>
      </w:r>
      <w:r w:rsidR="00B84D27" w:rsidRPr="000C349E">
        <w:rPr>
          <w:sz w:val="28"/>
          <w:szCs w:val="28"/>
        </w:rPr>
        <w:t>de su representado</w:t>
      </w:r>
      <w:r w:rsidR="006452C8" w:rsidRPr="000C349E">
        <w:rPr>
          <w:sz w:val="28"/>
          <w:szCs w:val="28"/>
        </w:rPr>
        <w:t xml:space="preserve"> de </w:t>
      </w:r>
      <w:r w:rsidR="001010DF" w:rsidRPr="000C349E">
        <w:rPr>
          <w:sz w:val="28"/>
          <w:szCs w:val="28"/>
        </w:rPr>
        <w:t xml:space="preserve">la clínica donde se encuentra internado. </w:t>
      </w:r>
    </w:p>
    <w:p w:rsidR="001010DF" w:rsidRPr="000C349E" w:rsidRDefault="001010DF" w:rsidP="000C349E">
      <w:pPr>
        <w:jc w:val="both"/>
        <w:rPr>
          <w:sz w:val="28"/>
          <w:szCs w:val="28"/>
        </w:rPr>
      </w:pPr>
    </w:p>
    <w:p w:rsidR="00B40FE4" w:rsidRPr="000C349E" w:rsidRDefault="00B07937" w:rsidP="000C349E">
      <w:pPr>
        <w:jc w:val="both"/>
        <w:rPr>
          <w:sz w:val="28"/>
          <w:szCs w:val="28"/>
        </w:rPr>
      </w:pPr>
      <w:r w:rsidRPr="000C349E">
        <w:rPr>
          <w:sz w:val="28"/>
          <w:szCs w:val="28"/>
        </w:rPr>
        <w:t xml:space="preserve">2.2. </w:t>
      </w:r>
      <w:r w:rsidR="00150D0A" w:rsidRPr="000C349E">
        <w:rPr>
          <w:sz w:val="28"/>
          <w:szCs w:val="28"/>
        </w:rPr>
        <w:t>En concreto</w:t>
      </w:r>
      <w:r w:rsidR="00B40FE4" w:rsidRPr="000C349E">
        <w:rPr>
          <w:sz w:val="28"/>
          <w:szCs w:val="28"/>
        </w:rPr>
        <w:t xml:space="preserve">, la agente </w:t>
      </w:r>
      <w:r w:rsidR="00153273" w:rsidRPr="000C349E">
        <w:rPr>
          <w:sz w:val="28"/>
          <w:szCs w:val="28"/>
        </w:rPr>
        <w:t xml:space="preserve">oficiosa </w:t>
      </w:r>
      <w:r w:rsidR="00B40FE4" w:rsidRPr="000C349E">
        <w:rPr>
          <w:sz w:val="28"/>
          <w:szCs w:val="28"/>
        </w:rPr>
        <w:t xml:space="preserve">llamó la atención </w:t>
      </w:r>
      <w:r w:rsidR="008220DB" w:rsidRPr="000C349E">
        <w:rPr>
          <w:sz w:val="28"/>
          <w:szCs w:val="28"/>
        </w:rPr>
        <w:t xml:space="preserve">de </w:t>
      </w:r>
      <w:r w:rsidR="00B40FE4" w:rsidRPr="000C349E">
        <w:rPr>
          <w:sz w:val="28"/>
          <w:szCs w:val="28"/>
        </w:rPr>
        <w:t>que Ángel Abad Hoyos</w:t>
      </w:r>
      <w:r w:rsidR="008B5AB1" w:rsidRPr="000C349E">
        <w:rPr>
          <w:sz w:val="28"/>
          <w:szCs w:val="28"/>
        </w:rPr>
        <w:t xml:space="preserve"> Fernández</w:t>
      </w:r>
      <w:r w:rsidR="00B40FE4" w:rsidRPr="000C349E">
        <w:rPr>
          <w:sz w:val="28"/>
          <w:szCs w:val="28"/>
        </w:rPr>
        <w:t xml:space="preserve"> no </w:t>
      </w:r>
      <w:r w:rsidR="006740D8" w:rsidRPr="000C349E">
        <w:rPr>
          <w:sz w:val="28"/>
          <w:szCs w:val="28"/>
        </w:rPr>
        <w:t>demanda</w:t>
      </w:r>
      <w:r w:rsidR="00DB1DB9" w:rsidRPr="000C349E">
        <w:rPr>
          <w:sz w:val="28"/>
          <w:szCs w:val="28"/>
        </w:rPr>
        <w:t xml:space="preserve"> </w:t>
      </w:r>
      <w:r w:rsidR="00B40FE4" w:rsidRPr="000C349E">
        <w:rPr>
          <w:sz w:val="28"/>
          <w:szCs w:val="28"/>
        </w:rPr>
        <w:t>de atención médica especializada</w:t>
      </w:r>
      <w:r w:rsidR="001010DF" w:rsidRPr="000C349E">
        <w:rPr>
          <w:sz w:val="28"/>
          <w:szCs w:val="28"/>
        </w:rPr>
        <w:t xml:space="preserve"> para atender las secuelas del evento cerebrovascular hemorrágico que padeció en el año 2015, </w:t>
      </w:r>
      <w:r w:rsidR="00B40FE4" w:rsidRPr="000C349E">
        <w:rPr>
          <w:sz w:val="28"/>
          <w:szCs w:val="28"/>
        </w:rPr>
        <w:t xml:space="preserve">sino </w:t>
      </w:r>
      <w:r w:rsidR="001010DF" w:rsidRPr="000C349E">
        <w:rPr>
          <w:sz w:val="28"/>
          <w:szCs w:val="28"/>
        </w:rPr>
        <w:t xml:space="preserve">que requiere </w:t>
      </w:r>
      <w:r w:rsidR="00B40FE4" w:rsidRPr="000C349E">
        <w:rPr>
          <w:sz w:val="28"/>
          <w:szCs w:val="28"/>
        </w:rPr>
        <w:t>de una serie de apoyos para el desarrollo de las tareas cotidianas</w:t>
      </w:r>
      <w:r w:rsidR="001010DF" w:rsidRPr="000C349E">
        <w:rPr>
          <w:sz w:val="28"/>
          <w:szCs w:val="28"/>
        </w:rPr>
        <w:t xml:space="preserve">, los cuales </w:t>
      </w:r>
      <w:r w:rsidR="00B40FE4" w:rsidRPr="000C349E">
        <w:rPr>
          <w:sz w:val="28"/>
          <w:szCs w:val="28"/>
        </w:rPr>
        <w:t xml:space="preserve">constituyen servicios </w:t>
      </w:r>
      <w:r w:rsidR="001010DF" w:rsidRPr="000C349E">
        <w:rPr>
          <w:sz w:val="28"/>
          <w:szCs w:val="28"/>
        </w:rPr>
        <w:t>asistenciales</w:t>
      </w:r>
      <w:r w:rsidR="00DB1DB9" w:rsidRPr="000C349E">
        <w:rPr>
          <w:sz w:val="28"/>
          <w:szCs w:val="28"/>
        </w:rPr>
        <w:t xml:space="preserve"> </w:t>
      </w:r>
      <w:r w:rsidR="00BA1E33" w:rsidRPr="000C349E">
        <w:rPr>
          <w:sz w:val="28"/>
          <w:szCs w:val="28"/>
        </w:rPr>
        <w:t>que</w:t>
      </w:r>
      <w:r w:rsidR="00B40FE4" w:rsidRPr="000C349E">
        <w:rPr>
          <w:sz w:val="28"/>
          <w:szCs w:val="28"/>
        </w:rPr>
        <w:t xml:space="preserve"> deben</w:t>
      </w:r>
      <w:r w:rsidR="00537F73" w:rsidRPr="000C349E">
        <w:rPr>
          <w:sz w:val="28"/>
          <w:szCs w:val="28"/>
        </w:rPr>
        <w:t xml:space="preserve"> ser</w:t>
      </w:r>
      <w:r w:rsidR="00B40FE4" w:rsidRPr="000C349E">
        <w:rPr>
          <w:sz w:val="28"/>
          <w:szCs w:val="28"/>
        </w:rPr>
        <w:t xml:space="preserve"> </w:t>
      </w:r>
      <w:r w:rsidR="00BA1E33" w:rsidRPr="000C349E">
        <w:rPr>
          <w:sz w:val="28"/>
          <w:szCs w:val="28"/>
        </w:rPr>
        <w:t xml:space="preserve">asumidos </w:t>
      </w:r>
      <w:r w:rsidR="004C2E46" w:rsidRPr="000C349E">
        <w:rPr>
          <w:sz w:val="28"/>
          <w:szCs w:val="28"/>
        </w:rPr>
        <w:t>por sus parientes cercanos</w:t>
      </w:r>
      <w:r w:rsidR="00175A5C" w:rsidRPr="000C349E">
        <w:rPr>
          <w:sz w:val="28"/>
          <w:szCs w:val="28"/>
        </w:rPr>
        <w:t xml:space="preserve"> en virtud del principio de solidaridad</w:t>
      </w:r>
      <w:r w:rsidR="00BA1E33" w:rsidRPr="000C349E">
        <w:rPr>
          <w:sz w:val="28"/>
          <w:szCs w:val="28"/>
        </w:rPr>
        <w:t xml:space="preserve">. </w:t>
      </w:r>
    </w:p>
    <w:p w:rsidR="00B40FE4" w:rsidRPr="000C349E" w:rsidRDefault="00B40FE4" w:rsidP="000C349E">
      <w:pPr>
        <w:jc w:val="both"/>
        <w:rPr>
          <w:sz w:val="28"/>
          <w:szCs w:val="28"/>
        </w:rPr>
      </w:pPr>
    </w:p>
    <w:p w:rsidR="006D1E7E" w:rsidRPr="000C349E" w:rsidRDefault="006D1E7E" w:rsidP="000C349E">
      <w:pPr>
        <w:jc w:val="both"/>
        <w:rPr>
          <w:sz w:val="28"/>
          <w:szCs w:val="28"/>
        </w:rPr>
      </w:pPr>
      <w:r w:rsidRPr="000C349E">
        <w:rPr>
          <w:sz w:val="28"/>
          <w:szCs w:val="28"/>
        </w:rPr>
        <w:t xml:space="preserve">2.3. Igualmente, Ginna Rocío García Parra puso de </w:t>
      </w:r>
      <w:r w:rsidR="006713D1" w:rsidRPr="000C349E">
        <w:rPr>
          <w:sz w:val="28"/>
          <w:szCs w:val="28"/>
        </w:rPr>
        <w:t>presente</w:t>
      </w:r>
      <w:r w:rsidRPr="000C349E">
        <w:rPr>
          <w:sz w:val="28"/>
          <w:szCs w:val="28"/>
        </w:rPr>
        <w:t xml:space="preserve"> que la permanencia </w:t>
      </w:r>
      <w:r w:rsidR="001010DF" w:rsidRPr="000C349E">
        <w:rPr>
          <w:sz w:val="28"/>
          <w:szCs w:val="28"/>
        </w:rPr>
        <w:t>innecesaria</w:t>
      </w:r>
      <w:r w:rsidRPr="000C349E">
        <w:rPr>
          <w:sz w:val="28"/>
          <w:szCs w:val="28"/>
        </w:rPr>
        <w:t xml:space="preserve"> de </w:t>
      </w:r>
      <w:r w:rsidR="006713D1" w:rsidRPr="000C349E">
        <w:rPr>
          <w:sz w:val="28"/>
          <w:szCs w:val="28"/>
        </w:rPr>
        <w:t xml:space="preserve">Ángel Abad Hoyos </w:t>
      </w:r>
      <w:r w:rsidRPr="000C349E">
        <w:rPr>
          <w:sz w:val="28"/>
          <w:szCs w:val="28"/>
        </w:rPr>
        <w:t>Fernández en las instalaciones de Proseguir IPS, adem</w:t>
      </w:r>
      <w:r w:rsidR="006713D1" w:rsidRPr="000C349E">
        <w:rPr>
          <w:sz w:val="28"/>
          <w:szCs w:val="28"/>
        </w:rPr>
        <w:t>ás de poner en riesgo su</w:t>
      </w:r>
      <w:r w:rsidRPr="000C349E">
        <w:rPr>
          <w:sz w:val="28"/>
          <w:szCs w:val="28"/>
        </w:rPr>
        <w:t xml:space="preserve"> integridad ante la posibilidad de </w:t>
      </w:r>
      <w:r w:rsidR="006713D1" w:rsidRPr="000C349E">
        <w:rPr>
          <w:sz w:val="28"/>
          <w:szCs w:val="28"/>
        </w:rPr>
        <w:t>contagiarse</w:t>
      </w:r>
      <w:r w:rsidRPr="000C349E">
        <w:rPr>
          <w:sz w:val="28"/>
          <w:szCs w:val="28"/>
        </w:rPr>
        <w:t xml:space="preserve"> de infecciones propias de los entornos clínicos, afecta la capacidad de atención del centro médico. </w:t>
      </w:r>
      <w:r w:rsidR="006713D1" w:rsidRPr="000C349E">
        <w:rPr>
          <w:sz w:val="28"/>
          <w:szCs w:val="28"/>
        </w:rPr>
        <w:t>Sobre este último punto</w:t>
      </w:r>
      <w:r w:rsidRPr="000C349E">
        <w:rPr>
          <w:sz w:val="28"/>
          <w:szCs w:val="28"/>
        </w:rPr>
        <w:t xml:space="preserve">, la </w:t>
      </w:r>
      <w:r w:rsidR="006713D1" w:rsidRPr="000C349E">
        <w:rPr>
          <w:sz w:val="28"/>
          <w:szCs w:val="28"/>
        </w:rPr>
        <w:t>representante legal de Proseguir IPS</w:t>
      </w:r>
      <w:r w:rsidRPr="000C349E">
        <w:rPr>
          <w:sz w:val="28"/>
          <w:szCs w:val="28"/>
        </w:rPr>
        <w:t xml:space="preserve"> </w:t>
      </w:r>
      <w:r w:rsidR="006713D1" w:rsidRPr="000C349E">
        <w:rPr>
          <w:sz w:val="28"/>
          <w:szCs w:val="28"/>
        </w:rPr>
        <w:t>sostuvo</w:t>
      </w:r>
      <w:r w:rsidRPr="000C349E">
        <w:rPr>
          <w:sz w:val="28"/>
          <w:szCs w:val="28"/>
        </w:rPr>
        <w:t xml:space="preserve"> que:</w:t>
      </w:r>
      <w:r w:rsidR="00C431D3" w:rsidRPr="000C349E">
        <w:rPr>
          <w:sz w:val="28"/>
          <w:szCs w:val="28"/>
        </w:rPr>
        <w:t xml:space="preserve"> </w:t>
      </w:r>
    </w:p>
    <w:p w:rsidR="006D1E7E" w:rsidRPr="000C349E" w:rsidRDefault="006D1E7E" w:rsidP="000C349E">
      <w:pPr>
        <w:jc w:val="both"/>
        <w:rPr>
          <w:sz w:val="28"/>
          <w:szCs w:val="28"/>
        </w:rPr>
      </w:pPr>
    </w:p>
    <w:p w:rsidR="00A83420" w:rsidRPr="000C349E" w:rsidRDefault="006713D1" w:rsidP="000C349E">
      <w:pPr>
        <w:ind w:left="227" w:right="227"/>
        <w:jc w:val="both"/>
        <w:rPr>
          <w:sz w:val="28"/>
          <w:szCs w:val="28"/>
        </w:rPr>
      </w:pPr>
      <w:r w:rsidRPr="000C349E">
        <w:rPr>
          <w:i/>
          <w:sz w:val="28"/>
          <w:szCs w:val="28"/>
        </w:rPr>
        <w:t xml:space="preserve">“(…) si bien nuestra institución siempre ha garantizado el servicio de salud al paciente sin ningún tipo de distinción, también es cierto que debe </w:t>
      </w:r>
      <w:r w:rsidR="006740D8" w:rsidRPr="000C349E">
        <w:rPr>
          <w:i/>
          <w:sz w:val="28"/>
          <w:szCs w:val="28"/>
        </w:rPr>
        <w:t>tenerse en cuenta la situación y</w:t>
      </w:r>
      <w:r w:rsidRPr="000C349E">
        <w:rPr>
          <w:i/>
          <w:sz w:val="28"/>
          <w:szCs w:val="28"/>
        </w:rPr>
        <w:t xml:space="preserve"> necesidad de pacientes de otras EPS que requieren de los servicios hospitalarios de nuestra IPS, los cuales vienen siendo utilizados por el paciente Ángel Abad Hoyos, aun cuando ya no los requiere”</w:t>
      </w:r>
      <w:r w:rsidRPr="000C349E">
        <w:rPr>
          <w:sz w:val="28"/>
          <w:szCs w:val="28"/>
        </w:rPr>
        <w:t xml:space="preserve">. En este sentido, </w:t>
      </w:r>
      <w:r w:rsidR="00A83420" w:rsidRPr="000C349E">
        <w:rPr>
          <w:i/>
          <w:sz w:val="28"/>
          <w:szCs w:val="28"/>
        </w:rPr>
        <w:t>“cabe resaltar que el servicio de salud frente a este paciente (…) se volvió un servicio social en atenciones no cubiertas por el Plan de Salud, por lo tanto no es objeto ni competencia de nuestra institución”</w:t>
      </w:r>
      <w:r w:rsidR="006740D8" w:rsidRPr="000C349E">
        <w:rPr>
          <w:rStyle w:val="Refdenotaalpie"/>
          <w:i/>
          <w:sz w:val="28"/>
          <w:szCs w:val="28"/>
        </w:rPr>
        <w:footnoteReference w:id="18"/>
      </w:r>
      <w:r w:rsidR="00A83420" w:rsidRPr="000C349E">
        <w:rPr>
          <w:sz w:val="28"/>
          <w:szCs w:val="28"/>
        </w:rPr>
        <w:t xml:space="preserve">. </w:t>
      </w:r>
    </w:p>
    <w:p w:rsidR="006713D1" w:rsidRPr="000C349E" w:rsidRDefault="006713D1" w:rsidP="000C349E">
      <w:pPr>
        <w:jc w:val="both"/>
        <w:rPr>
          <w:sz w:val="28"/>
          <w:szCs w:val="28"/>
        </w:rPr>
      </w:pPr>
      <w:r w:rsidRPr="000C349E">
        <w:rPr>
          <w:sz w:val="28"/>
          <w:szCs w:val="28"/>
        </w:rPr>
        <w:t xml:space="preserve"> </w:t>
      </w:r>
    </w:p>
    <w:p w:rsidR="002D6DB8" w:rsidRPr="000C349E" w:rsidRDefault="006D1E7E" w:rsidP="000C349E">
      <w:pPr>
        <w:jc w:val="both"/>
        <w:rPr>
          <w:sz w:val="28"/>
          <w:szCs w:val="28"/>
        </w:rPr>
      </w:pPr>
      <w:r w:rsidRPr="000C349E">
        <w:rPr>
          <w:sz w:val="28"/>
          <w:szCs w:val="28"/>
        </w:rPr>
        <w:t>2.4</w:t>
      </w:r>
      <w:r w:rsidR="00B07937" w:rsidRPr="000C349E">
        <w:rPr>
          <w:sz w:val="28"/>
          <w:szCs w:val="28"/>
        </w:rPr>
        <w:t xml:space="preserve">. </w:t>
      </w:r>
      <w:r w:rsidR="008220DB" w:rsidRPr="000C349E">
        <w:rPr>
          <w:sz w:val="28"/>
          <w:szCs w:val="28"/>
        </w:rPr>
        <w:t>Por</w:t>
      </w:r>
      <w:r w:rsidR="005E5ED2" w:rsidRPr="000C349E">
        <w:rPr>
          <w:sz w:val="28"/>
          <w:szCs w:val="28"/>
        </w:rPr>
        <w:t xml:space="preserve"> lo anterior</w:t>
      </w:r>
      <w:r w:rsidR="00B17E50" w:rsidRPr="000C349E">
        <w:rPr>
          <w:sz w:val="28"/>
          <w:szCs w:val="28"/>
        </w:rPr>
        <w:t xml:space="preserve">, </w:t>
      </w:r>
      <w:r w:rsidRPr="000C349E">
        <w:rPr>
          <w:sz w:val="28"/>
          <w:szCs w:val="28"/>
        </w:rPr>
        <w:t>la agente</w:t>
      </w:r>
      <w:r w:rsidR="00153273" w:rsidRPr="000C349E">
        <w:rPr>
          <w:sz w:val="28"/>
          <w:szCs w:val="28"/>
        </w:rPr>
        <w:t xml:space="preserve"> </w:t>
      </w:r>
      <w:r w:rsidR="005E5ED2" w:rsidRPr="000C349E">
        <w:rPr>
          <w:sz w:val="28"/>
          <w:szCs w:val="28"/>
        </w:rPr>
        <w:t>solicitó</w:t>
      </w:r>
      <w:r w:rsidR="00BA1E33" w:rsidRPr="000C349E">
        <w:rPr>
          <w:sz w:val="28"/>
          <w:szCs w:val="28"/>
        </w:rPr>
        <w:t xml:space="preserve"> que </w:t>
      </w:r>
      <w:r w:rsidR="003D62EC" w:rsidRPr="000C349E">
        <w:rPr>
          <w:sz w:val="28"/>
          <w:szCs w:val="28"/>
        </w:rPr>
        <w:t>se ampare</w:t>
      </w:r>
      <w:r w:rsidR="006452C8" w:rsidRPr="000C349E">
        <w:rPr>
          <w:sz w:val="28"/>
          <w:szCs w:val="28"/>
        </w:rPr>
        <w:t>n</w:t>
      </w:r>
      <w:r w:rsidR="00BA1E33" w:rsidRPr="000C349E">
        <w:rPr>
          <w:sz w:val="28"/>
          <w:szCs w:val="28"/>
        </w:rPr>
        <w:t xml:space="preserve"> l</w:t>
      </w:r>
      <w:r w:rsidR="006452C8" w:rsidRPr="000C349E">
        <w:rPr>
          <w:sz w:val="28"/>
          <w:szCs w:val="28"/>
        </w:rPr>
        <w:t>os</w:t>
      </w:r>
      <w:r w:rsidR="00BA1E33" w:rsidRPr="000C349E">
        <w:rPr>
          <w:sz w:val="28"/>
          <w:szCs w:val="28"/>
        </w:rPr>
        <w:t xml:space="preserve"> derecho</w:t>
      </w:r>
      <w:r w:rsidR="006452C8" w:rsidRPr="000C349E">
        <w:rPr>
          <w:sz w:val="28"/>
          <w:szCs w:val="28"/>
        </w:rPr>
        <w:t>s</w:t>
      </w:r>
      <w:r w:rsidR="00BA1E33" w:rsidRPr="000C349E">
        <w:rPr>
          <w:sz w:val="28"/>
          <w:szCs w:val="28"/>
        </w:rPr>
        <w:t xml:space="preserve"> a la vida digna </w:t>
      </w:r>
      <w:r w:rsidR="006452C8" w:rsidRPr="000C349E">
        <w:rPr>
          <w:sz w:val="28"/>
          <w:szCs w:val="28"/>
        </w:rPr>
        <w:t xml:space="preserve">y a la asistencia familiar </w:t>
      </w:r>
      <w:r w:rsidR="00BA1E33" w:rsidRPr="000C349E">
        <w:rPr>
          <w:sz w:val="28"/>
          <w:szCs w:val="28"/>
        </w:rPr>
        <w:t xml:space="preserve">de </w:t>
      </w:r>
      <w:r w:rsidR="00B17E50" w:rsidRPr="000C349E">
        <w:rPr>
          <w:sz w:val="28"/>
          <w:szCs w:val="28"/>
        </w:rPr>
        <w:t>Ángel Abad Hoy</w:t>
      </w:r>
      <w:r w:rsidR="00153273" w:rsidRPr="000C349E">
        <w:rPr>
          <w:sz w:val="28"/>
          <w:szCs w:val="28"/>
        </w:rPr>
        <w:t xml:space="preserve">os Fernández </w:t>
      </w:r>
      <w:r w:rsidR="00BA1E33" w:rsidRPr="000C349E">
        <w:rPr>
          <w:sz w:val="28"/>
          <w:szCs w:val="28"/>
        </w:rPr>
        <w:t xml:space="preserve">y, en consecuencia, se </w:t>
      </w:r>
      <w:r w:rsidR="006452C8" w:rsidRPr="000C349E">
        <w:rPr>
          <w:sz w:val="28"/>
          <w:szCs w:val="28"/>
        </w:rPr>
        <w:t>les</w:t>
      </w:r>
      <w:r w:rsidR="00BA1E33" w:rsidRPr="000C349E">
        <w:rPr>
          <w:sz w:val="28"/>
          <w:szCs w:val="28"/>
        </w:rPr>
        <w:t xml:space="preserve"> orden</w:t>
      </w:r>
      <w:r w:rsidR="003D62EC" w:rsidRPr="000C349E">
        <w:rPr>
          <w:sz w:val="28"/>
          <w:szCs w:val="28"/>
        </w:rPr>
        <w:t>e</w:t>
      </w:r>
      <w:r w:rsidR="00153273" w:rsidRPr="000C349E">
        <w:rPr>
          <w:sz w:val="28"/>
          <w:szCs w:val="28"/>
        </w:rPr>
        <w:t xml:space="preserve"> a</w:t>
      </w:r>
      <w:r w:rsidR="00537F73" w:rsidRPr="000C349E">
        <w:rPr>
          <w:sz w:val="28"/>
          <w:szCs w:val="28"/>
        </w:rPr>
        <w:t xml:space="preserve"> los </w:t>
      </w:r>
      <w:r w:rsidR="006452C8" w:rsidRPr="000C349E">
        <w:rPr>
          <w:sz w:val="28"/>
          <w:szCs w:val="28"/>
        </w:rPr>
        <w:t>parientes</w:t>
      </w:r>
      <w:r w:rsidR="00537F73" w:rsidRPr="000C349E">
        <w:rPr>
          <w:sz w:val="28"/>
          <w:szCs w:val="28"/>
        </w:rPr>
        <w:t xml:space="preserve"> de su prohijado</w:t>
      </w:r>
      <w:r w:rsidR="00153273" w:rsidRPr="000C349E">
        <w:rPr>
          <w:sz w:val="28"/>
          <w:szCs w:val="28"/>
        </w:rPr>
        <w:t xml:space="preserve"> </w:t>
      </w:r>
      <w:r w:rsidR="005E5ED2" w:rsidRPr="000C349E">
        <w:rPr>
          <w:sz w:val="28"/>
          <w:szCs w:val="28"/>
        </w:rPr>
        <w:t xml:space="preserve">que </w:t>
      </w:r>
      <w:r w:rsidR="00153273" w:rsidRPr="000C349E">
        <w:rPr>
          <w:sz w:val="28"/>
          <w:szCs w:val="28"/>
        </w:rPr>
        <w:t>proceda</w:t>
      </w:r>
      <w:r w:rsidR="00537F73" w:rsidRPr="000C349E">
        <w:rPr>
          <w:sz w:val="28"/>
          <w:szCs w:val="28"/>
        </w:rPr>
        <w:t>n</w:t>
      </w:r>
      <w:r w:rsidR="00BA1E33" w:rsidRPr="000C349E">
        <w:rPr>
          <w:sz w:val="28"/>
          <w:szCs w:val="28"/>
        </w:rPr>
        <w:t xml:space="preserve"> </w:t>
      </w:r>
      <w:r w:rsidR="003D62EC" w:rsidRPr="000C349E">
        <w:rPr>
          <w:sz w:val="28"/>
          <w:szCs w:val="28"/>
        </w:rPr>
        <w:t>a</w:t>
      </w:r>
      <w:r w:rsidR="00537F73" w:rsidRPr="000C349E">
        <w:rPr>
          <w:sz w:val="28"/>
          <w:szCs w:val="28"/>
        </w:rPr>
        <w:t xml:space="preserve"> garantizar</w:t>
      </w:r>
      <w:r w:rsidR="00AD0B51" w:rsidRPr="000C349E">
        <w:rPr>
          <w:sz w:val="28"/>
          <w:szCs w:val="28"/>
        </w:rPr>
        <w:t>: (i)</w:t>
      </w:r>
      <w:r w:rsidR="00537F73" w:rsidRPr="000C349E">
        <w:rPr>
          <w:sz w:val="28"/>
          <w:szCs w:val="28"/>
        </w:rPr>
        <w:t xml:space="preserve"> su</w:t>
      </w:r>
      <w:r w:rsidR="00153273" w:rsidRPr="000C349E">
        <w:rPr>
          <w:sz w:val="28"/>
          <w:szCs w:val="28"/>
        </w:rPr>
        <w:t xml:space="preserve"> </w:t>
      </w:r>
      <w:r w:rsidR="006452C8" w:rsidRPr="000C349E">
        <w:rPr>
          <w:sz w:val="28"/>
          <w:szCs w:val="28"/>
        </w:rPr>
        <w:t>egreso de Proseg</w:t>
      </w:r>
      <w:r w:rsidR="00AD0B51" w:rsidRPr="000C349E">
        <w:rPr>
          <w:sz w:val="28"/>
          <w:szCs w:val="28"/>
        </w:rPr>
        <w:t xml:space="preserve">uir IPS, </w:t>
      </w:r>
      <w:r w:rsidR="006452C8" w:rsidRPr="000C349E">
        <w:rPr>
          <w:sz w:val="28"/>
          <w:szCs w:val="28"/>
        </w:rPr>
        <w:t xml:space="preserve">y </w:t>
      </w:r>
      <w:r w:rsidR="00AD0B51" w:rsidRPr="000C349E">
        <w:rPr>
          <w:sz w:val="28"/>
          <w:szCs w:val="28"/>
        </w:rPr>
        <w:t xml:space="preserve">(ii) </w:t>
      </w:r>
      <w:r w:rsidR="006452C8" w:rsidRPr="000C349E">
        <w:rPr>
          <w:sz w:val="28"/>
          <w:szCs w:val="28"/>
        </w:rPr>
        <w:t xml:space="preserve">su </w:t>
      </w:r>
      <w:r w:rsidR="00153273" w:rsidRPr="000C349E">
        <w:rPr>
          <w:sz w:val="28"/>
          <w:szCs w:val="28"/>
        </w:rPr>
        <w:t>trasladado</w:t>
      </w:r>
      <w:r w:rsidR="003D62EC" w:rsidRPr="000C349E">
        <w:rPr>
          <w:sz w:val="28"/>
          <w:szCs w:val="28"/>
        </w:rPr>
        <w:t xml:space="preserve"> a un</w:t>
      </w:r>
      <w:r w:rsidR="008220DB" w:rsidRPr="000C349E">
        <w:rPr>
          <w:sz w:val="28"/>
          <w:szCs w:val="28"/>
        </w:rPr>
        <w:t xml:space="preserve"> lugar adecuado en el que pueda</w:t>
      </w:r>
      <w:r w:rsidR="003D62EC" w:rsidRPr="000C349E">
        <w:rPr>
          <w:sz w:val="28"/>
          <w:szCs w:val="28"/>
        </w:rPr>
        <w:t xml:space="preserve"> </w:t>
      </w:r>
      <w:r w:rsidR="008220DB" w:rsidRPr="000C349E">
        <w:rPr>
          <w:sz w:val="28"/>
          <w:szCs w:val="28"/>
        </w:rPr>
        <w:t xml:space="preserve">recibir los apoyos necesarios para sobrellevar </w:t>
      </w:r>
      <w:r w:rsidR="003D62EC" w:rsidRPr="000C349E">
        <w:rPr>
          <w:sz w:val="28"/>
          <w:szCs w:val="28"/>
        </w:rPr>
        <w:t>las secuelas del evento cerebrovascular hemorrágico</w:t>
      </w:r>
      <w:r w:rsidR="00153273" w:rsidRPr="000C349E">
        <w:rPr>
          <w:sz w:val="28"/>
          <w:szCs w:val="28"/>
        </w:rPr>
        <w:t xml:space="preserve"> </w:t>
      </w:r>
      <w:r w:rsidR="009F6432" w:rsidRPr="000C349E">
        <w:rPr>
          <w:sz w:val="28"/>
          <w:szCs w:val="28"/>
        </w:rPr>
        <w:t xml:space="preserve">que </w:t>
      </w:r>
      <w:r w:rsidR="00CB5076" w:rsidRPr="000C349E">
        <w:rPr>
          <w:sz w:val="28"/>
          <w:szCs w:val="28"/>
        </w:rPr>
        <w:t xml:space="preserve">sufrió </w:t>
      </w:r>
      <w:r w:rsidR="00153273" w:rsidRPr="000C349E">
        <w:rPr>
          <w:sz w:val="28"/>
          <w:szCs w:val="28"/>
        </w:rPr>
        <w:t>en el año 2015.</w:t>
      </w:r>
      <w:r w:rsidR="003D62EC" w:rsidRPr="000C349E">
        <w:rPr>
          <w:sz w:val="28"/>
          <w:szCs w:val="28"/>
        </w:rPr>
        <w:t xml:space="preserve"> </w:t>
      </w:r>
    </w:p>
    <w:p w:rsidR="003D62EC" w:rsidRPr="000C349E" w:rsidRDefault="003D62EC" w:rsidP="000C349E">
      <w:pPr>
        <w:jc w:val="both"/>
        <w:rPr>
          <w:b/>
          <w:sz w:val="28"/>
          <w:szCs w:val="28"/>
        </w:rPr>
      </w:pPr>
    </w:p>
    <w:p w:rsidR="00F02DF4" w:rsidRPr="000C349E" w:rsidRDefault="00F02DF4" w:rsidP="000C349E">
      <w:pPr>
        <w:jc w:val="both"/>
        <w:rPr>
          <w:b/>
          <w:sz w:val="28"/>
          <w:szCs w:val="28"/>
        </w:rPr>
      </w:pPr>
      <w:r w:rsidRPr="000C349E">
        <w:rPr>
          <w:b/>
          <w:sz w:val="28"/>
          <w:szCs w:val="28"/>
        </w:rPr>
        <w:t xml:space="preserve">3. Admisión </w:t>
      </w:r>
      <w:r w:rsidR="009F6432" w:rsidRPr="000C349E">
        <w:rPr>
          <w:b/>
          <w:sz w:val="28"/>
          <w:szCs w:val="28"/>
        </w:rPr>
        <w:t xml:space="preserve">de la acción de tutela </w:t>
      </w:r>
      <w:r w:rsidRPr="000C349E">
        <w:rPr>
          <w:b/>
          <w:sz w:val="28"/>
          <w:szCs w:val="28"/>
        </w:rPr>
        <w:t xml:space="preserve">y traslado </w:t>
      </w:r>
    </w:p>
    <w:p w:rsidR="00F02DF4" w:rsidRPr="000C349E" w:rsidRDefault="00F02DF4" w:rsidP="000C349E">
      <w:pPr>
        <w:jc w:val="both"/>
        <w:rPr>
          <w:sz w:val="28"/>
          <w:szCs w:val="28"/>
        </w:rPr>
      </w:pPr>
    </w:p>
    <w:p w:rsidR="00CB3541" w:rsidRPr="000C349E" w:rsidRDefault="009F6432" w:rsidP="000C349E">
      <w:pPr>
        <w:jc w:val="both"/>
        <w:rPr>
          <w:sz w:val="28"/>
          <w:szCs w:val="28"/>
        </w:rPr>
      </w:pPr>
      <w:r w:rsidRPr="000C349E">
        <w:rPr>
          <w:sz w:val="28"/>
          <w:szCs w:val="28"/>
        </w:rPr>
        <w:t xml:space="preserve">3.1. </w:t>
      </w:r>
      <w:r w:rsidR="009C635A" w:rsidRPr="000C349E">
        <w:rPr>
          <w:sz w:val="28"/>
          <w:szCs w:val="28"/>
        </w:rPr>
        <w:t>A través de Auto de</w:t>
      </w:r>
      <w:r w:rsidR="00660065" w:rsidRPr="000C349E">
        <w:rPr>
          <w:sz w:val="28"/>
          <w:szCs w:val="28"/>
        </w:rPr>
        <w:t>l 25 de julio de 2018</w:t>
      </w:r>
      <w:r w:rsidR="009C635A" w:rsidRPr="000C349E">
        <w:rPr>
          <w:rStyle w:val="Refdenotaalpie"/>
          <w:sz w:val="28"/>
          <w:szCs w:val="28"/>
        </w:rPr>
        <w:footnoteReference w:id="19"/>
      </w:r>
      <w:r w:rsidR="00F02DF4" w:rsidRPr="000C349E">
        <w:rPr>
          <w:sz w:val="28"/>
          <w:szCs w:val="28"/>
        </w:rPr>
        <w:t xml:space="preserve">, </w:t>
      </w:r>
      <w:r w:rsidR="00660065" w:rsidRPr="000C349E">
        <w:rPr>
          <w:sz w:val="28"/>
          <w:szCs w:val="28"/>
        </w:rPr>
        <w:t>e</w:t>
      </w:r>
      <w:r w:rsidR="008B53AD" w:rsidRPr="000C349E">
        <w:rPr>
          <w:sz w:val="28"/>
          <w:szCs w:val="28"/>
        </w:rPr>
        <w:t>l Juzgado Veinte de Pequeñas Causas y Competencia Múltiple</w:t>
      </w:r>
      <w:r w:rsidR="00660065" w:rsidRPr="000C349E">
        <w:rPr>
          <w:sz w:val="28"/>
          <w:szCs w:val="28"/>
        </w:rPr>
        <w:t xml:space="preserve"> de Bo</w:t>
      </w:r>
      <w:r w:rsidR="008B53AD" w:rsidRPr="000C349E">
        <w:rPr>
          <w:sz w:val="28"/>
          <w:szCs w:val="28"/>
        </w:rPr>
        <w:t>gotá admitió la acción de tutela</w:t>
      </w:r>
      <w:r w:rsidR="00660065" w:rsidRPr="000C349E">
        <w:rPr>
          <w:sz w:val="28"/>
          <w:szCs w:val="28"/>
        </w:rPr>
        <w:t xml:space="preserve"> </w:t>
      </w:r>
      <w:r w:rsidR="006D7E43" w:rsidRPr="000C349E">
        <w:rPr>
          <w:sz w:val="28"/>
          <w:szCs w:val="28"/>
        </w:rPr>
        <w:t>de la referencia, y ordenó</w:t>
      </w:r>
      <w:r w:rsidR="00660065" w:rsidRPr="000C349E">
        <w:rPr>
          <w:sz w:val="28"/>
          <w:szCs w:val="28"/>
        </w:rPr>
        <w:t xml:space="preserve"> </w:t>
      </w:r>
      <w:r w:rsidR="006D7E43" w:rsidRPr="000C349E">
        <w:rPr>
          <w:sz w:val="28"/>
          <w:szCs w:val="28"/>
        </w:rPr>
        <w:t>poner</w:t>
      </w:r>
      <w:r w:rsidR="0041582F" w:rsidRPr="000C349E">
        <w:rPr>
          <w:sz w:val="28"/>
          <w:szCs w:val="28"/>
        </w:rPr>
        <w:t xml:space="preserve">la en conocimiento de los demandados </w:t>
      </w:r>
      <w:r w:rsidR="00CB3541" w:rsidRPr="000C349E">
        <w:rPr>
          <w:sz w:val="28"/>
          <w:szCs w:val="28"/>
        </w:rPr>
        <w:t>María del Pilar Jiménez Rodríguez, José Domingo</w:t>
      </w:r>
      <w:r w:rsidR="00AB4A88" w:rsidRPr="000C349E">
        <w:rPr>
          <w:sz w:val="28"/>
          <w:szCs w:val="28"/>
        </w:rPr>
        <w:t xml:space="preserve"> Martínez Rincón</w:t>
      </w:r>
      <w:r w:rsidR="00CB3541" w:rsidRPr="000C349E">
        <w:rPr>
          <w:sz w:val="28"/>
          <w:szCs w:val="28"/>
        </w:rPr>
        <w:t>, Jenny Mireya Rodríguez, Paula Andrea Jiménez Rodríguez e Isabella Hoyos Jiménez. Además, el funcionario judicial dispuso vincular al trámite constitucional a la Secretaría Distrital de Integración Social, a Famisanar EPS, al Ministerio de Salud y Protección Social, a la Administradora de los Recursos del Sistema de Seguridad Social en Salud, a la Secretaria Distrital de Salud, a la Personería de Bogotá y a la Defensoría del Pueblo.</w:t>
      </w:r>
    </w:p>
    <w:p w:rsidR="00CB3541" w:rsidRPr="000C349E" w:rsidRDefault="00CB3541" w:rsidP="000C349E">
      <w:pPr>
        <w:jc w:val="both"/>
        <w:rPr>
          <w:sz w:val="28"/>
          <w:szCs w:val="28"/>
        </w:rPr>
      </w:pPr>
    </w:p>
    <w:p w:rsidR="009F6432" w:rsidRPr="000C349E" w:rsidRDefault="009F6432" w:rsidP="000C349E">
      <w:pPr>
        <w:jc w:val="both"/>
        <w:rPr>
          <w:sz w:val="28"/>
          <w:szCs w:val="28"/>
        </w:rPr>
      </w:pPr>
      <w:r w:rsidRPr="000C349E">
        <w:rPr>
          <w:sz w:val="28"/>
          <w:szCs w:val="28"/>
        </w:rPr>
        <w:t>3.2. No obstante lo anterior, el 26 de julio de 2018, el citador del Juzgado Veinte de Pequeñas Causas y Compet</w:t>
      </w:r>
      <w:r w:rsidR="0041582F" w:rsidRPr="000C349E">
        <w:rPr>
          <w:sz w:val="28"/>
          <w:szCs w:val="28"/>
        </w:rPr>
        <w:t>encia Múltiple</w:t>
      </w:r>
      <w:r w:rsidRPr="000C349E">
        <w:rPr>
          <w:sz w:val="28"/>
          <w:szCs w:val="28"/>
        </w:rPr>
        <w:t xml:space="preserve"> de Bogotá dejó constancia de que no pudo notificar el auto admisorio de la tutela a los presuntos familiares de Ángel Abad Hoyos Fernández, en tanto que una vez acudió a las direcciones suministradas en la demanda de amparo las personas presentes en los inmuebles respectivos le informaron que no tenían conocimiento de su ubicación</w:t>
      </w:r>
      <w:r w:rsidRPr="000C349E">
        <w:rPr>
          <w:rStyle w:val="Refdenotaalpie"/>
          <w:sz w:val="28"/>
          <w:szCs w:val="28"/>
        </w:rPr>
        <w:footnoteReference w:id="20"/>
      </w:r>
      <w:r w:rsidRPr="000C349E">
        <w:rPr>
          <w:sz w:val="28"/>
          <w:szCs w:val="28"/>
        </w:rPr>
        <w:t>.</w:t>
      </w:r>
    </w:p>
    <w:p w:rsidR="009F6432" w:rsidRPr="000C349E" w:rsidRDefault="009F6432" w:rsidP="000C349E">
      <w:pPr>
        <w:jc w:val="both"/>
        <w:rPr>
          <w:sz w:val="28"/>
          <w:szCs w:val="28"/>
        </w:rPr>
      </w:pPr>
    </w:p>
    <w:p w:rsidR="00F02DF4" w:rsidRPr="000C349E" w:rsidRDefault="00D45B81" w:rsidP="000C349E">
      <w:pPr>
        <w:jc w:val="both"/>
        <w:rPr>
          <w:b/>
          <w:sz w:val="28"/>
          <w:szCs w:val="28"/>
        </w:rPr>
      </w:pPr>
      <w:r w:rsidRPr="000C349E">
        <w:rPr>
          <w:b/>
          <w:sz w:val="28"/>
          <w:szCs w:val="28"/>
        </w:rPr>
        <w:t>4. Intervenciones</w:t>
      </w:r>
      <w:r w:rsidR="009F6432" w:rsidRPr="000C349E">
        <w:rPr>
          <w:b/>
          <w:sz w:val="28"/>
          <w:szCs w:val="28"/>
        </w:rPr>
        <w:t xml:space="preserve"> </w:t>
      </w:r>
      <w:r w:rsidRPr="000C349E">
        <w:rPr>
          <w:b/>
          <w:sz w:val="28"/>
          <w:szCs w:val="28"/>
        </w:rPr>
        <w:t>de</w:t>
      </w:r>
      <w:r w:rsidR="00FC07A4" w:rsidRPr="000C349E">
        <w:rPr>
          <w:b/>
          <w:sz w:val="28"/>
          <w:szCs w:val="28"/>
        </w:rPr>
        <w:t xml:space="preserve"> las</w:t>
      </w:r>
      <w:r w:rsidRPr="000C349E">
        <w:rPr>
          <w:b/>
          <w:sz w:val="28"/>
          <w:szCs w:val="28"/>
        </w:rPr>
        <w:t xml:space="preserve"> </w:t>
      </w:r>
      <w:r w:rsidR="00D70521" w:rsidRPr="000C349E">
        <w:rPr>
          <w:b/>
          <w:sz w:val="28"/>
          <w:szCs w:val="28"/>
        </w:rPr>
        <w:t>autoridades</w:t>
      </w:r>
      <w:r w:rsidR="00F02DF4" w:rsidRPr="000C349E">
        <w:rPr>
          <w:b/>
          <w:sz w:val="28"/>
          <w:szCs w:val="28"/>
        </w:rPr>
        <w:t xml:space="preserve"> vinculadas al proceso</w:t>
      </w:r>
    </w:p>
    <w:p w:rsidR="00F02DF4" w:rsidRPr="000C349E" w:rsidRDefault="00F02DF4" w:rsidP="000C349E">
      <w:pPr>
        <w:jc w:val="both"/>
        <w:rPr>
          <w:sz w:val="28"/>
          <w:szCs w:val="28"/>
        </w:rPr>
      </w:pPr>
    </w:p>
    <w:p w:rsidR="009A70EE" w:rsidRPr="000C349E" w:rsidRDefault="007806CD" w:rsidP="000C349E">
      <w:pPr>
        <w:jc w:val="both"/>
        <w:rPr>
          <w:iCs/>
          <w:sz w:val="28"/>
          <w:szCs w:val="28"/>
        </w:rPr>
      </w:pPr>
      <w:r w:rsidRPr="000C349E">
        <w:rPr>
          <w:sz w:val="28"/>
          <w:szCs w:val="28"/>
        </w:rPr>
        <w:t>4.1.</w:t>
      </w:r>
      <w:r w:rsidR="009A70EE" w:rsidRPr="000C349E">
        <w:rPr>
          <w:sz w:val="28"/>
          <w:szCs w:val="28"/>
        </w:rPr>
        <w:t xml:space="preserve"> Famisanar EPS señaló que carece de legitimación en la causa por pasiva en el presente asunto, ya que la acción de tutela se dirige en contra de los parientes del accionante y en ella no se reprocha su gestión en la garantía de los servicios de salud que requiere Ángel Abad Hoyos Fernández, los cuales ha asegurado de conformidad con las recomendaciones emitidas por los médicos tratantes, incluida la </w:t>
      </w:r>
      <w:r w:rsidR="009A70EE" w:rsidRPr="000C349E">
        <w:rPr>
          <w:i/>
          <w:sz w:val="28"/>
          <w:szCs w:val="28"/>
        </w:rPr>
        <w:t>“hospitalización diaria en unidad especial de cuidado crónico”</w:t>
      </w:r>
      <w:r w:rsidR="009A70EE" w:rsidRPr="000C349E">
        <w:rPr>
          <w:rStyle w:val="Refdenotaalpie"/>
          <w:sz w:val="28"/>
          <w:szCs w:val="28"/>
        </w:rPr>
        <w:footnoteReference w:id="21"/>
      </w:r>
      <w:r w:rsidR="009A70EE" w:rsidRPr="000C349E">
        <w:rPr>
          <w:iCs/>
          <w:sz w:val="28"/>
          <w:szCs w:val="28"/>
        </w:rPr>
        <w:t>.</w:t>
      </w:r>
    </w:p>
    <w:p w:rsidR="007806CD" w:rsidRPr="000C349E" w:rsidRDefault="007806CD" w:rsidP="000C349E">
      <w:pPr>
        <w:jc w:val="both"/>
        <w:rPr>
          <w:sz w:val="28"/>
          <w:szCs w:val="28"/>
        </w:rPr>
      </w:pPr>
    </w:p>
    <w:p w:rsidR="009A70EE" w:rsidRPr="000C349E" w:rsidRDefault="007806CD" w:rsidP="000C349E">
      <w:pPr>
        <w:jc w:val="both"/>
        <w:rPr>
          <w:sz w:val="28"/>
          <w:szCs w:val="28"/>
        </w:rPr>
      </w:pPr>
      <w:r w:rsidRPr="000C349E">
        <w:rPr>
          <w:sz w:val="28"/>
          <w:szCs w:val="28"/>
        </w:rPr>
        <w:t>4.</w:t>
      </w:r>
      <w:r w:rsidR="00687CAD" w:rsidRPr="000C349E">
        <w:rPr>
          <w:sz w:val="28"/>
          <w:szCs w:val="28"/>
        </w:rPr>
        <w:t>2</w:t>
      </w:r>
      <w:r w:rsidRPr="000C349E">
        <w:rPr>
          <w:sz w:val="28"/>
          <w:szCs w:val="28"/>
        </w:rPr>
        <w:t xml:space="preserve">. </w:t>
      </w:r>
      <w:r w:rsidR="004938C1" w:rsidRPr="000C349E">
        <w:rPr>
          <w:sz w:val="28"/>
          <w:szCs w:val="28"/>
        </w:rPr>
        <w:t>Igualmente</w:t>
      </w:r>
      <w:r w:rsidRPr="000C349E">
        <w:rPr>
          <w:sz w:val="28"/>
          <w:szCs w:val="28"/>
        </w:rPr>
        <w:t xml:space="preserve">, </w:t>
      </w:r>
      <w:r w:rsidR="009A70EE" w:rsidRPr="000C349E">
        <w:rPr>
          <w:sz w:val="28"/>
          <w:szCs w:val="28"/>
        </w:rPr>
        <w:t xml:space="preserve">la Secretaría Distrital de Integración Social de Bogotá pidió ser desvinculada del proceso por falta de legitimación en la causa por pasiva, ya que las secuelas de un evento cerebrovascular son constitutivas de </w:t>
      </w:r>
      <w:r w:rsidR="009A70EE" w:rsidRPr="000C349E">
        <w:rPr>
          <w:i/>
          <w:sz w:val="28"/>
          <w:szCs w:val="28"/>
        </w:rPr>
        <w:t>“una enfermedad, mas no una discapacidad”</w:t>
      </w:r>
      <w:r w:rsidR="009A70EE" w:rsidRPr="000C349E">
        <w:rPr>
          <w:iCs/>
          <w:sz w:val="28"/>
          <w:szCs w:val="28"/>
        </w:rPr>
        <w:t>, por lo</w:t>
      </w:r>
      <w:r w:rsidR="009A70EE" w:rsidRPr="000C349E">
        <w:rPr>
          <w:sz w:val="28"/>
          <w:szCs w:val="28"/>
        </w:rPr>
        <w:t xml:space="preserve"> que deben ser atendidas por las instituciones del Sistema General de Seguridad Social en Salud y por la familia del actor</w:t>
      </w:r>
      <w:r w:rsidR="009A70EE" w:rsidRPr="000C349E">
        <w:rPr>
          <w:rStyle w:val="Refdenotaalpie"/>
          <w:sz w:val="28"/>
          <w:szCs w:val="28"/>
        </w:rPr>
        <w:footnoteReference w:id="22"/>
      </w:r>
      <w:r w:rsidR="009A70EE" w:rsidRPr="000C349E">
        <w:rPr>
          <w:sz w:val="28"/>
          <w:szCs w:val="28"/>
        </w:rPr>
        <w:t>.</w:t>
      </w:r>
    </w:p>
    <w:p w:rsidR="009A70EE" w:rsidRPr="000C349E" w:rsidRDefault="009A70EE" w:rsidP="000C349E">
      <w:pPr>
        <w:jc w:val="both"/>
        <w:rPr>
          <w:sz w:val="28"/>
          <w:szCs w:val="28"/>
        </w:rPr>
      </w:pPr>
    </w:p>
    <w:p w:rsidR="007749D5" w:rsidRPr="000C349E" w:rsidRDefault="009206C2" w:rsidP="000C349E">
      <w:pPr>
        <w:tabs>
          <w:tab w:val="left" w:pos="1254"/>
        </w:tabs>
        <w:jc w:val="both"/>
        <w:rPr>
          <w:sz w:val="28"/>
          <w:szCs w:val="28"/>
        </w:rPr>
      </w:pPr>
      <w:r w:rsidRPr="000C349E">
        <w:rPr>
          <w:sz w:val="28"/>
          <w:szCs w:val="28"/>
        </w:rPr>
        <w:t xml:space="preserve">4.3. </w:t>
      </w:r>
      <w:r w:rsidR="0071775B" w:rsidRPr="000C349E">
        <w:rPr>
          <w:sz w:val="28"/>
          <w:szCs w:val="28"/>
        </w:rPr>
        <w:t>Asimismo</w:t>
      </w:r>
      <w:r w:rsidR="007806CD" w:rsidRPr="000C349E">
        <w:rPr>
          <w:sz w:val="28"/>
          <w:szCs w:val="28"/>
        </w:rPr>
        <w:t>,</w:t>
      </w:r>
      <w:r w:rsidR="00687CAD" w:rsidRPr="000C349E">
        <w:rPr>
          <w:sz w:val="28"/>
          <w:szCs w:val="28"/>
        </w:rPr>
        <w:t xml:space="preserve"> </w:t>
      </w:r>
      <w:r w:rsidR="007806CD" w:rsidRPr="000C349E">
        <w:rPr>
          <w:sz w:val="28"/>
          <w:szCs w:val="28"/>
        </w:rPr>
        <w:t>e</w:t>
      </w:r>
      <w:r w:rsidR="00152C7F" w:rsidRPr="000C349E">
        <w:rPr>
          <w:sz w:val="28"/>
          <w:szCs w:val="28"/>
        </w:rPr>
        <w:t>l Ministerio de Salud y Protección Social, l</w:t>
      </w:r>
      <w:r w:rsidRPr="000C349E">
        <w:rPr>
          <w:sz w:val="28"/>
          <w:szCs w:val="28"/>
        </w:rPr>
        <w:t>a Administradora de los Recursos del Sistema General de Seguridad Social en Salud, l</w:t>
      </w:r>
      <w:r w:rsidR="007749D5" w:rsidRPr="000C349E">
        <w:rPr>
          <w:sz w:val="28"/>
          <w:szCs w:val="28"/>
        </w:rPr>
        <w:t xml:space="preserve">a Defensoría del Pueblo, </w:t>
      </w:r>
      <w:r w:rsidRPr="000C349E">
        <w:rPr>
          <w:sz w:val="28"/>
          <w:szCs w:val="28"/>
        </w:rPr>
        <w:t>la Personería de Bogotá</w:t>
      </w:r>
      <w:r w:rsidR="00E60857" w:rsidRPr="000C349E">
        <w:rPr>
          <w:sz w:val="28"/>
          <w:szCs w:val="28"/>
        </w:rPr>
        <w:t xml:space="preserve"> y </w:t>
      </w:r>
      <w:r w:rsidR="007749D5" w:rsidRPr="000C349E">
        <w:rPr>
          <w:sz w:val="28"/>
          <w:szCs w:val="28"/>
        </w:rPr>
        <w:t>la Secretaría Distrital de Salud</w:t>
      </w:r>
      <w:r w:rsidR="00EF36D9" w:rsidRPr="000C349E">
        <w:rPr>
          <w:rStyle w:val="Refdenotaalpie"/>
          <w:sz w:val="28"/>
          <w:szCs w:val="28"/>
        </w:rPr>
        <w:footnoteReference w:id="23"/>
      </w:r>
      <w:r w:rsidR="00E60857" w:rsidRPr="000C349E">
        <w:rPr>
          <w:sz w:val="28"/>
          <w:szCs w:val="28"/>
        </w:rPr>
        <w:t>,</w:t>
      </w:r>
      <w:r w:rsidR="007749D5" w:rsidRPr="000C349E">
        <w:rPr>
          <w:sz w:val="28"/>
          <w:szCs w:val="28"/>
        </w:rPr>
        <w:t xml:space="preserve"> solicitaron ser desvinculados del proceso de la referencia por falta de </w:t>
      </w:r>
      <w:r w:rsidR="00130C91" w:rsidRPr="000C349E">
        <w:rPr>
          <w:sz w:val="28"/>
          <w:szCs w:val="28"/>
        </w:rPr>
        <w:t>legitimación</w:t>
      </w:r>
      <w:r w:rsidR="00F665F4" w:rsidRPr="000C349E">
        <w:rPr>
          <w:sz w:val="28"/>
          <w:szCs w:val="28"/>
        </w:rPr>
        <w:t xml:space="preserve"> </w:t>
      </w:r>
      <w:r w:rsidR="007749D5" w:rsidRPr="000C349E">
        <w:rPr>
          <w:sz w:val="28"/>
          <w:szCs w:val="28"/>
        </w:rPr>
        <w:t>en la causa</w:t>
      </w:r>
      <w:r w:rsidR="004938C1" w:rsidRPr="000C349E">
        <w:rPr>
          <w:sz w:val="28"/>
          <w:szCs w:val="28"/>
        </w:rPr>
        <w:t xml:space="preserve"> por pasiva</w:t>
      </w:r>
      <w:r w:rsidR="007749D5" w:rsidRPr="000C349E">
        <w:rPr>
          <w:sz w:val="28"/>
          <w:szCs w:val="28"/>
        </w:rPr>
        <w:t>, toda vez que</w:t>
      </w:r>
      <w:r w:rsidR="0071775B" w:rsidRPr="000C349E">
        <w:rPr>
          <w:sz w:val="28"/>
          <w:szCs w:val="28"/>
        </w:rPr>
        <w:t>: (i) las pretensiones del amparo se dirigen exclusivamente en contra de los familiares del actor, y (ii) las mismas no guardan relación directa con sus facultades legales y reglamentarias.</w:t>
      </w:r>
      <w:r w:rsidR="0093595F" w:rsidRPr="000C349E">
        <w:rPr>
          <w:sz w:val="28"/>
          <w:szCs w:val="28"/>
        </w:rPr>
        <w:t xml:space="preserve"> </w:t>
      </w:r>
    </w:p>
    <w:p w:rsidR="007749D5" w:rsidRPr="000C349E" w:rsidRDefault="007749D5" w:rsidP="000C349E">
      <w:pPr>
        <w:jc w:val="both"/>
        <w:rPr>
          <w:sz w:val="28"/>
          <w:szCs w:val="28"/>
        </w:rPr>
      </w:pPr>
    </w:p>
    <w:p w:rsidR="00F02DF4" w:rsidRPr="000C349E" w:rsidRDefault="00F02DF4" w:rsidP="000C349E">
      <w:pPr>
        <w:jc w:val="both"/>
        <w:rPr>
          <w:b/>
          <w:sz w:val="28"/>
          <w:szCs w:val="28"/>
        </w:rPr>
      </w:pPr>
      <w:r w:rsidRPr="000C349E">
        <w:rPr>
          <w:b/>
          <w:sz w:val="28"/>
          <w:szCs w:val="28"/>
        </w:rPr>
        <w:t>5. Decisiones de instancia</w:t>
      </w:r>
    </w:p>
    <w:p w:rsidR="00F02DF4" w:rsidRPr="000C349E" w:rsidRDefault="00F02DF4" w:rsidP="000C349E">
      <w:pPr>
        <w:jc w:val="both"/>
        <w:rPr>
          <w:sz w:val="28"/>
          <w:szCs w:val="28"/>
        </w:rPr>
      </w:pPr>
    </w:p>
    <w:p w:rsidR="00EC2353" w:rsidRPr="000C349E" w:rsidRDefault="00F02DF4" w:rsidP="000C349E">
      <w:pPr>
        <w:jc w:val="both"/>
        <w:rPr>
          <w:sz w:val="28"/>
          <w:szCs w:val="28"/>
        </w:rPr>
      </w:pPr>
      <w:r w:rsidRPr="000C349E">
        <w:rPr>
          <w:sz w:val="28"/>
          <w:szCs w:val="28"/>
        </w:rPr>
        <w:t xml:space="preserve">5.1. </w:t>
      </w:r>
      <w:r w:rsidR="00C45657" w:rsidRPr="000C349E">
        <w:rPr>
          <w:sz w:val="28"/>
          <w:szCs w:val="28"/>
        </w:rPr>
        <w:t xml:space="preserve">Mediante </w:t>
      </w:r>
      <w:r w:rsidRPr="000C349E">
        <w:rPr>
          <w:sz w:val="28"/>
          <w:szCs w:val="28"/>
        </w:rPr>
        <w:t xml:space="preserve">Sentencia del </w:t>
      </w:r>
      <w:r w:rsidR="0048758F" w:rsidRPr="000C349E">
        <w:rPr>
          <w:sz w:val="28"/>
          <w:szCs w:val="28"/>
        </w:rPr>
        <w:t>3 de agosto de 2018</w:t>
      </w:r>
      <w:r w:rsidRPr="000C349E">
        <w:rPr>
          <w:rStyle w:val="Refdenotaalpie"/>
          <w:rFonts w:eastAsia="SimSun"/>
          <w:sz w:val="28"/>
          <w:szCs w:val="28"/>
        </w:rPr>
        <w:footnoteReference w:id="24"/>
      </w:r>
      <w:r w:rsidR="0048758F" w:rsidRPr="000C349E">
        <w:rPr>
          <w:sz w:val="28"/>
          <w:szCs w:val="28"/>
        </w:rPr>
        <w:t>, el Juzgado Veinte de Pequeñas</w:t>
      </w:r>
      <w:r w:rsidR="009C6D99" w:rsidRPr="000C349E">
        <w:rPr>
          <w:sz w:val="28"/>
          <w:szCs w:val="28"/>
        </w:rPr>
        <w:t xml:space="preserve"> </w:t>
      </w:r>
      <w:r w:rsidR="0048758F" w:rsidRPr="000C349E">
        <w:rPr>
          <w:sz w:val="28"/>
          <w:szCs w:val="28"/>
        </w:rPr>
        <w:t xml:space="preserve">Causas y Competencia Múltiple de Bogotá </w:t>
      </w:r>
      <w:r w:rsidR="00EC2353" w:rsidRPr="000C349E">
        <w:rPr>
          <w:sz w:val="28"/>
          <w:szCs w:val="28"/>
        </w:rPr>
        <w:t>no accedió a</w:t>
      </w:r>
      <w:r w:rsidR="00C45657" w:rsidRPr="000C349E">
        <w:rPr>
          <w:sz w:val="28"/>
          <w:szCs w:val="28"/>
        </w:rPr>
        <w:t>l amparo solicitado</w:t>
      </w:r>
      <w:r w:rsidRPr="000C349E">
        <w:rPr>
          <w:sz w:val="28"/>
          <w:szCs w:val="28"/>
        </w:rPr>
        <w:t xml:space="preserve">, </w:t>
      </w:r>
      <w:r w:rsidR="00C45657" w:rsidRPr="000C349E">
        <w:rPr>
          <w:sz w:val="28"/>
          <w:szCs w:val="28"/>
        </w:rPr>
        <w:t>al considerar que</w:t>
      </w:r>
      <w:r w:rsidR="00E73BD1" w:rsidRPr="000C349E">
        <w:rPr>
          <w:sz w:val="28"/>
          <w:szCs w:val="28"/>
        </w:rPr>
        <w:t>:</w:t>
      </w:r>
      <w:r w:rsidR="0093595F" w:rsidRPr="000C349E">
        <w:rPr>
          <w:sz w:val="28"/>
          <w:szCs w:val="28"/>
        </w:rPr>
        <w:t xml:space="preserve"> </w:t>
      </w:r>
    </w:p>
    <w:p w:rsidR="00EC2353" w:rsidRPr="000C349E" w:rsidRDefault="00EC2353" w:rsidP="000C349E">
      <w:pPr>
        <w:jc w:val="both"/>
        <w:rPr>
          <w:sz w:val="28"/>
          <w:szCs w:val="28"/>
        </w:rPr>
      </w:pPr>
    </w:p>
    <w:p w:rsidR="00EC2353" w:rsidRPr="000C349E" w:rsidRDefault="00EC2353" w:rsidP="000C349E">
      <w:pPr>
        <w:ind w:left="227" w:right="227"/>
        <w:jc w:val="both"/>
        <w:rPr>
          <w:sz w:val="28"/>
          <w:szCs w:val="28"/>
        </w:rPr>
      </w:pPr>
      <w:r w:rsidRPr="000C349E">
        <w:rPr>
          <w:sz w:val="28"/>
          <w:szCs w:val="28"/>
        </w:rPr>
        <w:t xml:space="preserve">(i) Ante la imposibilidad de localizar a los familiares del agenciado, </w:t>
      </w:r>
      <w:r w:rsidR="00E73BD1" w:rsidRPr="000C349E">
        <w:rPr>
          <w:i/>
          <w:sz w:val="28"/>
          <w:szCs w:val="28"/>
        </w:rPr>
        <w:t>“resulta improcedente ordenar el egreso de Ángel Abad Hoyos Fernández de la institución demandante, pues de acceder a ello se afectarían notoriamente sus derechos fundamentales”</w:t>
      </w:r>
      <w:r w:rsidR="00E73BD1" w:rsidRPr="000C349E">
        <w:rPr>
          <w:sz w:val="28"/>
          <w:szCs w:val="28"/>
        </w:rPr>
        <w:t xml:space="preserve">; </w:t>
      </w:r>
      <w:r w:rsidR="00462308" w:rsidRPr="000C349E">
        <w:rPr>
          <w:sz w:val="28"/>
          <w:szCs w:val="28"/>
        </w:rPr>
        <w:t>y</w:t>
      </w:r>
      <w:r w:rsidR="0093595F" w:rsidRPr="000C349E">
        <w:rPr>
          <w:sz w:val="28"/>
          <w:szCs w:val="28"/>
        </w:rPr>
        <w:t xml:space="preserve"> </w:t>
      </w:r>
    </w:p>
    <w:p w:rsidR="00EC2353" w:rsidRPr="000C349E" w:rsidRDefault="00EC2353" w:rsidP="000C349E">
      <w:pPr>
        <w:ind w:left="227" w:right="227"/>
        <w:jc w:val="both"/>
        <w:rPr>
          <w:sz w:val="28"/>
          <w:szCs w:val="28"/>
        </w:rPr>
      </w:pPr>
    </w:p>
    <w:p w:rsidR="00C45657" w:rsidRPr="000C349E" w:rsidRDefault="00EC2353" w:rsidP="000C349E">
      <w:pPr>
        <w:ind w:left="227" w:right="227"/>
        <w:jc w:val="both"/>
        <w:rPr>
          <w:sz w:val="28"/>
          <w:szCs w:val="28"/>
        </w:rPr>
      </w:pPr>
      <w:r w:rsidRPr="000C349E">
        <w:rPr>
          <w:sz w:val="28"/>
          <w:szCs w:val="28"/>
        </w:rPr>
        <w:t xml:space="preserve">(ii) </w:t>
      </w:r>
      <w:r w:rsidR="005A2D76" w:rsidRPr="000C349E">
        <w:rPr>
          <w:sz w:val="28"/>
          <w:szCs w:val="28"/>
        </w:rPr>
        <w:t>Famisanar EPS</w:t>
      </w:r>
      <w:r w:rsidR="00E60857" w:rsidRPr="000C349E">
        <w:rPr>
          <w:sz w:val="28"/>
          <w:szCs w:val="28"/>
        </w:rPr>
        <w:t xml:space="preserve"> </w:t>
      </w:r>
      <w:r w:rsidR="00FB15E2" w:rsidRPr="000C349E">
        <w:rPr>
          <w:sz w:val="28"/>
          <w:szCs w:val="28"/>
        </w:rPr>
        <w:t xml:space="preserve">le </w:t>
      </w:r>
      <w:r w:rsidR="005A2D76" w:rsidRPr="000C349E">
        <w:rPr>
          <w:sz w:val="28"/>
          <w:szCs w:val="28"/>
        </w:rPr>
        <w:t>ha</w:t>
      </w:r>
      <w:r w:rsidR="00FB15E2" w:rsidRPr="000C349E">
        <w:rPr>
          <w:sz w:val="28"/>
          <w:szCs w:val="28"/>
        </w:rPr>
        <w:t xml:space="preserve"> garantizado </w:t>
      </w:r>
      <w:r w:rsidR="00E73BD1" w:rsidRPr="000C349E">
        <w:rPr>
          <w:sz w:val="28"/>
          <w:szCs w:val="28"/>
        </w:rPr>
        <w:t xml:space="preserve">al señor Hoyos Fernández </w:t>
      </w:r>
      <w:r w:rsidR="00FB15E2" w:rsidRPr="000C349E">
        <w:rPr>
          <w:sz w:val="28"/>
          <w:szCs w:val="28"/>
        </w:rPr>
        <w:t>todos los requerimientos en s</w:t>
      </w:r>
      <w:r w:rsidR="005A2D76" w:rsidRPr="000C349E">
        <w:rPr>
          <w:sz w:val="28"/>
          <w:szCs w:val="28"/>
        </w:rPr>
        <w:t>alud prescr</w:t>
      </w:r>
      <w:r w:rsidR="00FB15E2" w:rsidRPr="000C349E">
        <w:rPr>
          <w:sz w:val="28"/>
          <w:szCs w:val="28"/>
        </w:rPr>
        <w:t>itos p</w:t>
      </w:r>
      <w:r w:rsidRPr="000C349E">
        <w:rPr>
          <w:sz w:val="28"/>
          <w:szCs w:val="28"/>
        </w:rPr>
        <w:t>or sus médicos tratantes</w:t>
      </w:r>
      <w:r w:rsidR="00462308" w:rsidRPr="000C349E">
        <w:rPr>
          <w:sz w:val="28"/>
          <w:szCs w:val="28"/>
        </w:rPr>
        <w:t>.</w:t>
      </w:r>
    </w:p>
    <w:p w:rsidR="00462308" w:rsidRPr="000C349E" w:rsidRDefault="00462308" w:rsidP="000C349E">
      <w:pPr>
        <w:jc w:val="both"/>
        <w:rPr>
          <w:sz w:val="28"/>
          <w:szCs w:val="28"/>
        </w:rPr>
      </w:pPr>
    </w:p>
    <w:p w:rsidR="00F02DF4" w:rsidRPr="000C349E" w:rsidRDefault="00F02DF4" w:rsidP="000C349E">
      <w:pPr>
        <w:jc w:val="both"/>
        <w:rPr>
          <w:sz w:val="28"/>
          <w:szCs w:val="28"/>
        </w:rPr>
      </w:pPr>
      <w:r w:rsidRPr="000C349E">
        <w:rPr>
          <w:sz w:val="28"/>
          <w:szCs w:val="28"/>
        </w:rPr>
        <w:t xml:space="preserve">5.2. La agente oficiosa impugnó </w:t>
      </w:r>
      <w:r w:rsidR="008E36F4" w:rsidRPr="000C349E">
        <w:rPr>
          <w:sz w:val="28"/>
          <w:szCs w:val="28"/>
        </w:rPr>
        <w:t xml:space="preserve">la decisión de </w:t>
      </w:r>
      <w:r w:rsidRPr="000C349E">
        <w:rPr>
          <w:sz w:val="28"/>
          <w:szCs w:val="28"/>
        </w:rPr>
        <w:t>primer</w:t>
      </w:r>
      <w:r w:rsidR="008E36F4" w:rsidRPr="000C349E">
        <w:rPr>
          <w:sz w:val="28"/>
          <w:szCs w:val="28"/>
        </w:rPr>
        <w:t xml:space="preserve"> </w:t>
      </w:r>
      <w:r w:rsidRPr="000C349E">
        <w:rPr>
          <w:sz w:val="28"/>
          <w:szCs w:val="28"/>
        </w:rPr>
        <w:t xml:space="preserve">grado, </w:t>
      </w:r>
      <w:r w:rsidR="00E73BD1" w:rsidRPr="000C349E">
        <w:rPr>
          <w:sz w:val="28"/>
          <w:szCs w:val="28"/>
        </w:rPr>
        <w:t xml:space="preserve">señalando que ante la imposibilidad de ubicar a la familia de su prohijado, se torna imperioso </w:t>
      </w:r>
      <w:r w:rsidR="008E36F4" w:rsidRPr="000C349E">
        <w:rPr>
          <w:sz w:val="28"/>
          <w:szCs w:val="28"/>
        </w:rPr>
        <w:t xml:space="preserve">que </w:t>
      </w:r>
      <w:r w:rsidR="006478B7" w:rsidRPr="000C349E">
        <w:rPr>
          <w:sz w:val="28"/>
          <w:szCs w:val="28"/>
        </w:rPr>
        <w:t xml:space="preserve">se le ordene a la Secretaría Distrital de Integración Social </w:t>
      </w:r>
      <w:r w:rsidR="00E85257" w:rsidRPr="000C349E">
        <w:rPr>
          <w:sz w:val="28"/>
          <w:szCs w:val="28"/>
        </w:rPr>
        <w:t xml:space="preserve">de Bogotá </w:t>
      </w:r>
      <w:r w:rsidR="006478B7" w:rsidRPr="000C349E">
        <w:rPr>
          <w:sz w:val="28"/>
          <w:szCs w:val="28"/>
        </w:rPr>
        <w:t xml:space="preserve">que gestione </w:t>
      </w:r>
      <w:r w:rsidR="006478B7" w:rsidRPr="000C349E">
        <w:rPr>
          <w:i/>
          <w:sz w:val="28"/>
          <w:szCs w:val="28"/>
        </w:rPr>
        <w:t>“lo respectivo para que el paciente Abad tenga un lugar acorde a su patología en donde alojarse y poder seguir con su tratamiento”</w:t>
      </w:r>
      <w:r w:rsidR="006478B7" w:rsidRPr="000C349E">
        <w:rPr>
          <w:rStyle w:val="Refdenotaalpie"/>
          <w:sz w:val="28"/>
          <w:szCs w:val="28"/>
        </w:rPr>
        <w:footnoteReference w:id="25"/>
      </w:r>
      <w:r w:rsidR="006478B7" w:rsidRPr="000C349E">
        <w:rPr>
          <w:sz w:val="28"/>
          <w:szCs w:val="28"/>
        </w:rPr>
        <w:t xml:space="preserve">. </w:t>
      </w:r>
    </w:p>
    <w:p w:rsidR="008E36F4" w:rsidRPr="000C349E" w:rsidRDefault="008E36F4" w:rsidP="000C349E">
      <w:pPr>
        <w:jc w:val="both"/>
        <w:rPr>
          <w:sz w:val="28"/>
          <w:szCs w:val="28"/>
        </w:rPr>
      </w:pPr>
    </w:p>
    <w:p w:rsidR="00C45657" w:rsidRPr="000C349E" w:rsidRDefault="00B17316" w:rsidP="000C349E">
      <w:pPr>
        <w:jc w:val="both"/>
        <w:rPr>
          <w:sz w:val="28"/>
          <w:szCs w:val="28"/>
        </w:rPr>
      </w:pPr>
      <w:r w:rsidRPr="000C349E">
        <w:rPr>
          <w:sz w:val="28"/>
          <w:szCs w:val="28"/>
        </w:rPr>
        <w:t xml:space="preserve">5.3. </w:t>
      </w:r>
      <w:r w:rsidR="00C45657" w:rsidRPr="000C349E">
        <w:rPr>
          <w:sz w:val="28"/>
          <w:szCs w:val="28"/>
        </w:rPr>
        <w:t xml:space="preserve">A través de </w:t>
      </w:r>
      <w:r w:rsidRPr="000C349E">
        <w:rPr>
          <w:sz w:val="28"/>
          <w:szCs w:val="28"/>
        </w:rPr>
        <w:t>Sentencia del 11</w:t>
      </w:r>
      <w:r w:rsidR="00F02DF4" w:rsidRPr="000C349E">
        <w:rPr>
          <w:sz w:val="28"/>
          <w:szCs w:val="28"/>
        </w:rPr>
        <w:t xml:space="preserve"> de </w:t>
      </w:r>
      <w:r w:rsidRPr="000C349E">
        <w:rPr>
          <w:sz w:val="28"/>
          <w:szCs w:val="28"/>
        </w:rPr>
        <w:t>septiembre de 2018</w:t>
      </w:r>
      <w:r w:rsidR="00F02DF4" w:rsidRPr="000C349E">
        <w:rPr>
          <w:rStyle w:val="Refdenotaalpie"/>
          <w:rFonts w:eastAsia="SimSun"/>
          <w:sz w:val="28"/>
          <w:szCs w:val="28"/>
        </w:rPr>
        <w:footnoteReference w:id="26"/>
      </w:r>
      <w:r w:rsidR="00F02DF4" w:rsidRPr="000C349E">
        <w:rPr>
          <w:sz w:val="28"/>
          <w:szCs w:val="28"/>
        </w:rPr>
        <w:t>,</w:t>
      </w:r>
      <w:r w:rsidR="008701D7" w:rsidRPr="000C349E">
        <w:rPr>
          <w:sz w:val="28"/>
          <w:szCs w:val="28"/>
        </w:rPr>
        <w:t xml:space="preserve"> el Juzgado Quinto Civil de Circuito de </w:t>
      </w:r>
      <w:r w:rsidR="007F2581" w:rsidRPr="000C349E">
        <w:rPr>
          <w:sz w:val="28"/>
          <w:szCs w:val="28"/>
        </w:rPr>
        <w:t>Bogotá</w:t>
      </w:r>
      <w:r w:rsidR="008701D7" w:rsidRPr="000C349E">
        <w:rPr>
          <w:sz w:val="28"/>
          <w:szCs w:val="28"/>
        </w:rPr>
        <w:t xml:space="preserve"> </w:t>
      </w:r>
      <w:r w:rsidR="00F02DF4" w:rsidRPr="000C349E">
        <w:rPr>
          <w:sz w:val="28"/>
          <w:szCs w:val="28"/>
        </w:rPr>
        <w:t xml:space="preserve">confirmó </w:t>
      </w:r>
      <w:r w:rsidR="00C45657" w:rsidRPr="000C349E">
        <w:rPr>
          <w:sz w:val="28"/>
          <w:szCs w:val="28"/>
        </w:rPr>
        <w:t xml:space="preserve">el fallo </w:t>
      </w:r>
      <w:r w:rsidR="009D6B47" w:rsidRPr="000C349E">
        <w:rPr>
          <w:sz w:val="28"/>
          <w:szCs w:val="28"/>
        </w:rPr>
        <w:t xml:space="preserve">de primera instancia, reiterando </w:t>
      </w:r>
      <w:r w:rsidR="00D77329" w:rsidRPr="000C349E">
        <w:rPr>
          <w:sz w:val="28"/>
          <w:szCs w:val="28"/>
        </w:rPr>
        <w:t>los</w:t>
      </w:r>
      <w:r w:rsidR="006478B7" w:rsidRPr="000C349E">
        <w:rPr>
          <w:sz w:val="28"/>
          <w:szCs w:val="28"/>
        </w:rPr>
        <w:t xml:space="preserve"> </w:t>
      </w:r>
      <w:r w:rsidR="009D6B47" w:rsidRPr="000C349E">
        <w:rPr>
          <w:sz w:val="28"/>
          <w:szCs w:val="28"/>
        </w:rPr>
        <w:t xml:space="preserve">argumentos del </w:t>
      </w:r>
      <w:r w:rsidR="009D6B47" w:rsidRPr="000C349E">
        <w:rPr>
          <w:i/>
          <w:sz w:val="28"/>
          <w:szCs w:val="28"/>
        </w:rPr>
        <w:t>a-quo</w:t>
      </w:r>
      <w:r w:rsidR="00462308" w:rsidRPr="000C349E">
        <w:rPr>
          <w:sz w:val="28"/>
          <w:szCs w:val="28"/>
        </w:rPr>
        <w:t xml:space="preserve">, así como llamando la atención de que: </w:t>
      </w:r>
    </w:p>
    <w:p w:rsidR="00462308" w:rsidRPr="000C349E" w:rsidRDefault="00462308" w:rsidP="000C349E">
      <w:pPr>
        <w:jc w:val="both"/>
        <w:rPr>
          <w:sz w:val="28"/>
          <w:szCs w:val="28"/>
        </w:rPr>
      </w:pPr>
    </w:p>
    <w:p w:rsidR="00462308" w:rsidRPr="000C349E" w:rsidRDefault="00462308" w:rsidP="000C349E">
      <w:pPr>
        <w:ind w:left="227" w:right="227"/>
        <w:jc w:val="both"/>
        <w:rPr>
          <w:sz w:val="28"/>
          <w:szCs w:val="28"/>
        </w:rPr>
      </w:pPr>
      <w:r w:rsidRPr="000C349E">
        <w:rPr>
          <w:i/>
          <w:iCs/>
          <w:sz w:val="28"/>
          <w:szCs w:val="28"/>
        </w:rPr>
        <w:t xml:space="preserve">“En cuanto a apoyo socioeconómico que requiere el agenciado para el egreso del centro hospitalario en condiciones de dignidad y ante la ausencia de familiares que asuman </w:t>
      </w:r>
      <w:r w:rsidR="0041582F" w:rsidRPr="000C349E">
        <w:rPr>
          <w:i/>
          <w:iCs/>
          <w:sz w:val="28"/>
          <w:szCs w:val="28"/>
        </w:rPr>
        <w:t>tal</w:t>
      </w:r>
      <w:r w:rsidR="001C3777" w:rsidRPr="000C349E">
        <w:rPr>
          <w:i/>
          <w:iCs/>
          <w:sz w:val="28"/>
          <w:szCs w:val="28"/>
        </w:rPr>
        <w:t xml:space="preserve"> responsabilidad, es necesario contar con la ayuda estatal, a través de sus entidades territoriales, ad empero, no se aprecia que el centro hospitalario, en coordinación con la EPS hayan adelantado los trámites mínimos frente a la Secretaría Distrital de Integración Social para ese fin, suministrando todos los elementos necesarios para una valoración integral de su caso, que permita determinar con certeza, si puede ser beneficiario de la oferta institucional de la entidad”</w:t>
      </w:r>
      <w:r w:rsidR="001C3777" w:rsidRPr="000C349E">
        <w:rPr>
          <w:sz w:val="28"/>
          <w:szCs w:val="28"/>
        </w:rPr>
        <w:t>.</w:t>
      </w:r>
      <w:r w:rsidR="0093595F" w:rsidRPr="000C349E">
        <w:rPr>
          <w:sz w:val="28"/>
          <w:szCs w:val="28"/>
        </w:rPr>
        <w:t xml:space="preserve"> </w:t>
      </w:r>
    </w:p>
    <w:p w:rsidR="00F5123A" w:rsidRPr="000C349E" w:rsidRDefault="00F5123A" w:rsidP="000C349E">
      <w:pPr>
        <w:jc w:val="both"/>
        <w:rPr>
          <w:sz w:val="28"/>
          <w:szCs w:val="28"/>
        </w:rPr>
      </w:pPr>
    </w:p>
    <w:p w:rsidR="00F02DF4" w:rsidRPr="000C349E" w:rsidRDefault="0041582F" w:rsidP="000C349E">
      <w:pPr>
        <w:jc w:val="both"/>
        <w:rPr>
          <w:b/>
          <w:sz w:val="28"/>
          <w:szCs w:val="28"/>
        </w:rPr>
      </w:pPr>
      <w:r w:rsidRPr="000C349E">
        <w:rPr>
          <w:b/>
          <w:sz w:val="28"/>
          <w:szCs w:val="28"/>
        </w:rPr>
        <w:t xml:space="preserve">II. TRÁMITE ANTE LA CORTE CONSTITUCIONAL </w:t>
      </w:r>
    </w:p>
    <w:p w:rsidR="00EC5F3A" w:rsidRPr="000C349E" w:rsidRDefault="00EC5F3A" w:rsidP="000C349E">
      <w:pPr>
        <w:jc w:val="both"/>
        <w:rPr>
          <w:b/>
          <w:bCs/>
          <w:sz w:val="28"/>
          <w:szCs w:val="28"/>
        </w:rPr>
      </w:pPr>
    </w:p>
    <w:p w:rsidR="00B12DEB" w:rsidRPr="000C349E" w:rsidRDefault="00767AD8" w:rsidP="000C349E">
      <w:pPr>
        <w:jc w:val="both"/>
        <w:rPr>
          <w:b/>
          <w:sz w:val="28"/>
          <w:szCs w:val="28"/>
        </w:rPr>
      </w:pPr>
      <w:r w:rsidRPr="000C349E">
        <w:rPr>
          <w:b/>
          <w:sz w:val="28"/>
          <w:szCs w:val="28"/>
        </w:rPr>
        <w:t xml:space="preserve">1. </w:t>
      </w:r>
      <w:r w:rsidR="00B12DEB" w:rsidRPr="000C349E">
        <w:rPr>
          <w:b/>
          <w:sz w:val="28"/>
          <w:szCs w:val="28"/>
        </w:rPr>
        <w:t xml:space="preserve">Selección del </w:t>
      </w:r>
      <w:r w:rsidR="00A16BC2" w:rsidRPr="000C349E">
        <w:rPr>
          <w:b/>
          <w:sz w:val="28"/>
          <w:szCs w:val="28"/>
        </w:rPr>
        <w:t>proceso</w:t>
      </w:r>
    </w:p>
    <w:p w:rsidR="00B12DEB" w:rsidRPr="000C349E" w:rsidRDefault="00B12DEB" w:rsidP="000C349E">
      <w:pPr>
        <w:jc w:val="both"/>
        <w:rPr>
          <w:bCs/>
          <w:sz w:val="28"/>
          <w:szCs w:val="28"/>
        </w:rPr>
      </w:pPr>
    </w:p>
    <w:p w:rsidR="00F02DF4" w:rsidRPr="000C349E" w:rsidRDefault="00767AD8" w:rsidP="000C349E">
      <w:pPr>
        <w:jc w:val="both"/>
        <w:rPr>
          <w:bCs/>
          <w:sz w:val="28"/>
          <w:szCs w:val="28"/>
        </w:rPr>
      </w:pPr>
      <w:r w:rsidRPr="000C349E">
        <w:rPr>
          <w:bCs/>
          <w:sz w:val="28"/>
          <w:szCs w:val="28"/>
        </w:rPr>
        <w:t>Mediante Auto del 29 de octubre de 2018</w:t>
      </w:r>
      <w:r w:rsidR="00816FFB" w:rsidRPr="000C349E">
        <w:rPr>
          <w:rStyle w:val="Refdenotaalpie"/>
          <w:rFonts w:eastAsia="SimSun"/>
          <w:bCs/>
          <w:sz w:val="28"/>
          <w:szCs w:val="28"/>
        </w:rPr>
        <w:footnoteReference w:id="27"/>
      </w:r>
      <w:r w:rsidR="00F02DF4" w:rsidRPr="000C349E">
        <w:rPr>
          <w:bCs/>
          <w:sz w:val="28"/>
          <w:szCs w:val="28"/>
        </w:rPr>
        <w:t xml:space="preserve">, la Sala de </w:t>
      </w:r>
      <w:r w:rsidRPr="000C349E">
        <w:rPr>
          <w:bCs/>
          <w:sz w:val="28"/>
          <w:szCs w:val="28"/>
        </w:rPr>
        <w:t>Selección de Tutelas Número Diez</w:t>
      </w:r>
      <w:r w:rsidR="00F02DF4" w:rsidRPr="000C349E">
        <w:rPr>
          <w:bCs/>
          <w:sz w:val="28"/>
          <w:szCs w:val="28"/>
        </w:rPr>
        <w:t xml:space="preserve"> </w:t>
      </w:r>
      <w:r w:rsidR="00816FFB" w:rsidRPr="000C349E">
        <w:rPr>
          <w:bCs/>
          <w:sz w:val="28"/>
          <w:szCs w:val="28"/>
        </w:rPr>
        <w:t xml:space="preserve">de la Corte Constitucional </w:t>
      </w:r>
      <w:r w:rsidR="00F02DF4" w:rsidRPr="000C349E">
        <w:rPr>
          <w:bCs/>
          <w:sz w:val="28"/>
          <w:szCs w:val="28"/>
        </w:rPr>
        <w:t>esco</w:t>
      </w:r>
      <w:r w:rsidR="003D62EC" w:rsidRPr="000C349E">
        <w:rPr>
          <w:bCs/>
          <w:sz w:val="28"/>
          <w:szCs w:val="28"/>
        </w:rPr>
        <w:t>gió para revisión el expediente</w:t>
      </w:r>
      <w:r w:rsidR="00C42DAC" w:rsidRPr="000C349E">
        <w:rPr>
          <w:bCs/>
          <w:sz w:val="28"/>
          <w:szCs w:val="28"/>
        </w:rPr>
        <w:t xml:space="preserve"> de la referencia</w:t>
      </w:r>
      <w:r w:rsidR="00B12DEB" w:rsidRPr="000C349E">
        <w:rPr>
          <w:bCs/>
          <w:sz w:val="28"/>
          <w:szCs w:val="28"/>
        </w:rPr>
        <w:t xml:space="preserve"> con fundamento en el criterio subjetivo denominado </w:t>
      </w:r>
      <w:r w:rsidR="00B12DEB" w:rsidRPr="000C349E">
        <w:rPr>
          <w:bCs/>
          <w:i/>
          <w:iCs/>
          <w:sz w:val="28"/>
          <w:szCs w:val="28"/>
        </w:rPr>
        <w:t>“urgencia de proteger un derecho fundamental”</w:t>
      </w:r>
      <w:r w:rsidR="00B12DEB" w:rsidRPr="000C349E">
        <w:rPr>
          <w:bCs/>
          <w:sz w:val="28"/>
          <w:szCs w:val="28"/>
        </w:rPr>
        <w:t>, contemplado en el artículo 52 del Reglamento Interno de este Tribunal</w:t>
      </w:r>
      <w:r w:rsidR="00F46788" w:rsidRPr="000C349E">
        <w:rPr>
          <w:rStyle w:val="Refdenotaalpie"/>
          <w:bCs/>
          <w:sz w:val="28"/>
          <w:szCs w:val="28"/>
        </w:rPr>
        <w:footnoteReference w:id="28"/>
      </w:r>
      <w:r w:rsidR="003D62EC" w:rsidRPr="000C349E">
        <w:rPr>
          <w:bCs/>
          <w:sz w:val="28"/>
          <w:szCs w:val="28"/>
        </w:rPr>
        <w:t>.</w:t>
      </w:r>
    </w:p>
    <w:p w:rsidR="00767AD8" w:rsidRPr="000C349E" w:rsidRDefault="00767AD8" w:rsidP="000C349E">
      <w:pPr>
        <w:jc w:val="both"/>
        <w:rPr>
          <w:bCs/>
          <w:sz w:val="28"/>
          <w:szCs w:val="28"/>
        </w:rPr>
      </w:pPr>
    </w:p>
    <w:p w:rsidR="00B12DEB" w:rsidRPr="000C349E" w:rsidRDefault="00B12DEB" w:rsidP="000C349E">
      <w:pPr>
        <w:jc w:val="both"/>
        <w:rPr>
          <w:b/>
          <w:sz w:val="28"/>
          <w:szCs w:val="28"/>
        </w:rPr>
      </w:pPr>
      <w:r w:rsidRPr="000C349E">
        <w:rPr>
          <w:b/>
          <w:sz w:val="28"/>
          <w:szCs w:val="28"/>
        </w:rPr>
        <w:t>2. Etapa probatoria</w:t>
      </w:r>
    </w:p>
    <w:p w:rsidR="00B12DEB" w:rsidRPr="000C349E" w:rsidRDefault="00B12DEB" w:rsidP="000C349E">
      <w:pPr>
        <w:jc w:val="both"/>
        <w:rPr>
          <w:bCs/>
          <w:sz w:val="28"/>
          <w:szCs w:val="28"/>
        </w:rPr>
      </w:pPr>
    </w:p>
    <w:p w:rsidR="00B12DEB" w:rsidRPr="000C349E" w:rsidRDefault="00B07937" w:rsidP="000C349E">
      <w:pPr>
        <w:jc w:val="both"/>
        <w:rPr>
          <w:bCs/>
          <w:sz w:val="28"/>
          <w:szCs w:val="28"/>
        </w:rPr>
      </w:pPr>
      <w:r w:rsidRPr="000C349E">
        <w:rPr>
          <w:bCs/>
          <w:sz w:val="28"/>
          <w:szCs w:val="28"/>
        </w:rPr>
        <w:t>2.</w:t>
      </w:r>
      <w:r w:rsidR="00B12DEB" w:rsidRPr="000C349E">
        <w:rPr>
          <w:bCs/>
          <w:sz w:val="28"/>
          <w:szCs w:val="28"/>
        </w:rPr>
        <w:t>1.</w:t>
      </w:r>
      <w:r w:rsidRPr="000C349E">
        <w:rPr>
          <w:bCs/>
          <w:sz w:val="28"/>
          <w:szCs w:val="28"/>
        </w:rPr>
        <w:t xml:space="preserve"> A través de autos del 6 de marzo</w:t>
      </w:r>
      <w:r w:rsidR="00BF4F01" w:rsidRPr="000C349E">
        <w:rPr>
          <w:bCs/>
          <w:sz w:val="28"/>
          <w:szCs w:val="28"/>
        </w:rPr>
        <w:t xml:space="preserve"> y</w:t>
      </w:r>
      <w:r w:rsidRPr="000C349E">
        <w:rPr>
          <w:bCs/>
          <w:sz w:val="28"/>
          <w:szCs w:val="28"/>
        </w:rPr>
        <w:t xml:space="preserve"> 10 de junio</w:t>
      </w:r>
      <w:r w:rsidR="00BF4F01" w:rsidRPr="000C349E">
        <w:rPr>
          <w:bCs/>
          <w:sz w:val="28"/>
          <w:szCs w:val="28"/>
        </w:rPr>
        <w:t xml:space="preserve"> </w:t>
      </w:r>
      <w:r w:rsidR="00004D24" w:rsidRPr="000C349E">
        <w:rPr>
          <w:bCs/>
          <w:sz w:val="28"/>
          <w:szCs w:val="28"/>
        </w:rPr>
        <w:t xml:space="preserve">de </w:t>
      </w:r>
      <w:r w:rsidRPr="000C349E">
        <w:rPr>
          <w:bCs/>
          <w:sz w:val="28"/>
          <w:szCs w:val="28"/>
        </w:rPr>
        <w:t>2019</w:t>
      </w:r>
      <w:r w:rsidR="00A20B99" w:rsidRPr="000C349E">
        <w:rPr>
          <w:rStyle w:val="Refdenotaalpie"/>
          <w:bCs/>
          <w:sz w:val="28"/>
          <w:szCs w:val="28"/>
        </w:rPr>
        <w:footnoteReference w:id="29"/>
      </w:r>
      <w:r w:rsidR="00044C49" w:rsidRPr="000C349E">
        <w:rPr>
          <w:bCs/>
          <w:sz w:val="28"/>
          <w:szCs w:val="28"/>
        </w:rPr>
        <w:t>,</w:t>
      </w:r>
      <w:r w:rsidR="00B12DEB" w:rsidRPr="000C349E">
        <w:rPr>
          <w:bCs/>
          <w:sz w:val="28"/>
          <w:szCs w:val="28"/>
        </w:rPr>
        <w:t xml:space="preserve"> esta Sala de Revisión</w:t>
      </w:r>
      <w:r w:rsidR="009548E9" w:rsidRPr="000C349E">
        <w:rPr>
          <w:bCs/>
          <w:sz w:val="28"/>
          <w:szCs w:val="28"/>
        </w:rPr>
        <w:t xml:space="preserve"> decretó pruebas con el fin de obtener mayores elementos de juicio para adoptar una decisión de fondo. Concretamente,</w:t>
      </w:r>
      <w:r w:rsidR="00BF4F01" w:rsidRPr="000C349E">
        <w:rPr>
          <w:bCs/>
          <w:sz w:val="28"/>
          <w:szCs w:val="28"/>
        </w:rPr>
        <w:t xml:space="preserve"> </w:t>
      </w:r>
      <w:r w:rsidR="009548E9" w:rsidRPr="000C349E">
        <w:rPr>
          <w:bCs/>
          <w:sz w:val="28"/>
          <w:szCs w:val="28"/>
        </w:rPr>
        <w:t>en tales providencias, la Corte dispuso que, por medio de</w:t>
      </w:r>
      <w:r w:rsidR="00BF4F01" w:rsidRPr="000C349E">
        <w:rPr>
          <w:bCs/>
          <w:sz w:val="28"/>
          <w:szCs w:val="28"/>
        </w:rPr>
        <w:t xml:space="preserve"> la Secretaría General</w:t>
      </w:r>
      <w:r w:rsidR="00B12DEB" w:rsidRPr="000C349E">
        <w:rPr>
          <w:bCs/>
          <w:sz w:val="28"/>
          <w:szCs w:val="28"/>
        </w:rPr>
        <w:t xml:space="preserve">: </w:t>
      </w:r>
    </w:p>
    <w:p w:rsidR="009548E9" w:rsidRPr="000C349E" w:rsidRDefault="009548E9" w:rsidP="000C349E">
      <w:pPr>
        <w:jc w:val="both"/>
        <w:rPr>
          <w:bCs/>
          <w:sz w:val="28"/>
          <w:szCs w:val="28"/>
        </w:rPr>
      </w:pPr>
    </w:p>
    <w:p w:rsidR="00B12DEB" w:rsidRPr="000C349E" w:rsidRDefault="00B12DEB" w:rsidP="000C349E">
      <w:pPr>
        <w:ind w:left="227" w:right="227"/>
        <w:jc w:val="both"/>
        <w:rPr>
          <w:bCs/>
          <w:sz w:val="28"/>
          <w:szCs w:val="28"/>
        </w:rPr>
      </w:pPr>
      <w:r w:rsidRPr="000C349E">
        <w:rPr>
          <w:bCs/>
          <w:sz w:val="28"/>
          <w:szCs w:val="28"/>
        </w:rPr>
        <w:t xml:space="preserve">(i) </w:t>
      </w:r>
      <w:r w:rsidR="009548E9" w:rsidRPr="000C349E">
        <w:rPr>
          <w:bCs/>
          <w:sz w:val="28"/>
          <w:szCs w:val="28"/>
        </w:rPr>
        <w:t>Se l</w:t>
      </w:r>
      <w:r w:rsidR="00BF4F01" w:rsidRPr="000C349E">
        <w:rPr>
          <w:bCs/>
          <w:sz w:val="28"/>
          <w:szCs w:val="28"/>
        </w:rPr>
        <w:t>e solicitara a</w:t>
      </w:r>
      <w:r w:rsidRPr="000C349E">
        <w:rPr>
          <w:bCs/>
          <w:sz w:val="28"/>
          <w:szCs w:val="28"/>
        </w:rPr>
        <w:t xml:space="preserve"> Famisanar EPS</w:t>
      </w:r>
      <w:r w:rsidR="00BF4F01" w:rsidRPr="000C349E">
        <w:rPr>
          <w:bCs/>
          <w:sz w:val="28"/>
          <w:szCs w:val="28"/>
        </w:rPr>
        <w:t xml:space="preserve"> </w:t>
      </w:r>
      <w:r w:rsidRPr="000C349E">
        <w:rPr>
          <w:bCs/>
          <w:sz w:val="28"/>
          <w:szCs w:val="28"/>
        </w:rPr>
        <w:t xml:space="preserve">que informara si había calificado la discapacidad </w:t>
      </w:r>
      <w:r w:rsidR="00BF4F01" w:rsidRPr="000C349E">
        <w:rPr>
          <w:bCs/>
          <w:sz w:val="28"/>
          <w:szCs w:val="28"/>
        </w:rPr>
        <w:t>Ángel Abad Hoyos Fernández</w:t>
      </w:r>
      <w:r w:rsidRPr="000C349E">
        <w:rPr>
          <w:bCs/>
          <w:sz w:val="28"/>
          <w:szCs w:val="28"/>
        </w:rPr>
        <w:t xml:space="preserve">; </w:t>
      </w:r>
    </w:p>
    <w:p w:rsidR="009548E9" w:rsidRPr="000C349E" w:rsidRDefault="009548E9" w:rsidP="000C349E">
      <w:pPr>
        <w:ind w:left="227" w:right="227"/>
        <w:jc w:val="both"/>
        <w:rPr>
          <w:bCs/>
          <w:sz w:val="28"/>
          <w:szCs w:val="28"/>
        </w:rPr>
      </w:pPr>
    </w:p>
    <w:p w:rsidR="009548E9" w:rsidRPr="000C349E" w:rsidRDefault="009548E9" w:rsidP="000C349E">
      <w:pPr>
        <w:ind w:left="227" w:right="227"/>
        <w:jc w:val="both"/>
        <w:rPr>
          <w:bCs/>
          <w:sz w:val="28"/>
          <w:szCs w:val="28"/>
        </w:rPr>
      </w:pPr>
      <w:r w:rsidRPr="000C349E">
        <w:rPr>
          <w:bCs/>
          <w:sz w:val="28"/>
          <w:szCs w:val="28"/>
        </w:rPr>
        <w:t xml:space="preserve">(ii) Se requiriera a Proseguir IPS para que actualizara los datos referentes al estado de salud de Ángel Abad Hoyos Fernández; </w:t>
      </w:r>
    </w:p>
    <w:p w:rsidR="00B12DEB" w:rsidRPr="000C349E" w:rsidRDefault="00B12DEB" w:rsidP="000C349E">
      <w:pPr>
        <w:ind w:left="227" w:right="227"/>
        <w:jc w:val="both"/>
        <w:rPr>
          <w:bCs/>
          <w:sz w:val="28"/>
          <w:szCs w:val="28"/>
        </w:rPr>
      </w:pPr>
    </w:p>
    <w:p w:rsidR="00B12DEB" w:rsidRPr="000C349E" w:rsidRDefault="00B12DEB" w:rsidP="000C349E">
      <w:pPr>
        <w:ind w:left="227" w:right="227"/>
        <w:jc w:val="both"/>
        <w:rPr>
          <w:bCs/>
          <w:sz w:val="28"/>
          <w:szCs w:val="28"/>
        </w:rPr>
      </w:pPr>
      <w:r w:rsidRPr="000C349E">
        <w:rPr>
          <w:bCs/>
          <w:sz w:val="28"/>
          <w:szCs w:val="28"/>
        </w:rPr>
        <w:t xml:space="preserve">(iii) </w:t>
      </w:r>
      <w:r w:rsidR="009548E9" w:rsidRPr="000C349E">
        <w:rPr>
          <w:bCs/>
          <w:sz w:val="28"/>
          <w:szCs w:val="28"/>
        </w:rPr>
        <w:t>Se l</w:t>
      </w:r>
      <w:r w:rsidR="00BF4F01" w:rsidRPr="000C349E">
        <w:rPr>
          <w:bCs/>
          <w:sz w:val="28"/>
          <w:szCs w:val="28"/>
        </w:rPr>
        <w:t>e pidiera a</w:t>
      </w:r>
      <w:r w:rsidRPr="000C349E">
        <w:rPr>
          <w:bCs/>
          <w:sz w:val="28"/>
          <w:szCs w:val="28"/>
        </w:rPr>
        <w:t xml:space="preserve"> la Secretaría Distrital de Integración Social </w:t>
      </w:r>
      <w:r w:rsidR="002E1CA3" w:rsidRPr="000C349E">
        <w:rPr>
          <w:bCs/>
          <w:sz w:val="28"/>
          <w:szCs w:val="28"/>
        </w:rPr>
        <w:t xml:space="preserve">que reseñara los programas que tiene la ciudad de Bogotá para atender a las personas en situación de discapacidad y en condición de abanado social. </w:t>
      </w:r>
    </w:p>
    <w:p w:rsidR="00BF4F01" w:rsidRPr="000C349E" w:rsidRDefault="00BF4F01" w:rsidP="000C349E">
      <w:pPr>
        <w:ind w:left="227" w:right="227"/>
        <w:jc w:val="both"/>
        <w:rPr>
          <w:bCs/>
          <w:sz w:val="28"/>
          <w:szCs w:val="28"/>
        </w:rPr>
      </w:pPr>
    </w:p>
    <w:p w:rsidR="00BF4F01" w:rsidRPr="000C349E" w:rsidRDefault="00BF4F01" w:rsidP="000C349E">
      <w:pPr>
        <w:ind w:left="227" w:right="227"/>
        <w:jc w:val="both"/>
        <w:rPr>
          <w:sz w:val="28"/>
          <w:szCs w:val="28"/>
        </w:rPr>
      </w:pPr>
      <w:r w:rsidRPr="000C349E">
        <w:rPr>
          <w:sz w:val="28"/>
          <w:szCs w:val="28"/>
        </w:rPr>
        <w:t xml:space="preserve">(iv) </w:t>
      </w:r>
      <w:r w:rsidR="009548E9" w:rsidRPr="000C349E">
        <w:rPr>
          <w:sz w:val="28"/>
          <w:szCs w:val="28"/>
        </w:rPr>
        <w:t>Se r</w:t>
      </w:r>
      <w:r w:rsidRPr="000C349E">
        <w:rPr>
          <w:sz w:val="28"/>
          <w:szCs w:val="28"/>
        </w:rPr>
        <w:t xml:space="preserve">emitiera copia del </w:t>
      </w:r>
      <w:r w:rsidR="009548E9" w:rsidRPr="000C349E">
        <w:rPr>
          <w:sz w:val="28"/>
          <w:szCs w:val="28"/>
        </w:rPr>
        <w:t xml:space="preserve">expediente del presente </w:t>
      </w:r>
      <w:r w:rsidRPr="000C349E">
        <w:rPr>
          <w:sz w:val="28"/>
          <w:szCs w:val="28"/>
        </w:rPr>
        <w:t>proceso</w:t>
      </w:r>
      <w:r w:rsidR="009548E9" w:rsidRPr="000C349E">
        <w:rPr>
          <w:sz w:val="28"/>
          <w:szCs w:val="28"/>
        </w:rPr>
        <w:t xml:space="preserve"> de tutela</w:t>
      </w:r>
      <w:r w:rsidRPr="000C349E">
        <w:rPr>
          <w:sz w:val="28"/>
          <w:szCs w:val="28"/>
        </w:rPr>
        <w:t xml:space="preserve"> a las Comisarías Sexta y Trece de</w:t>
      </w:r>
      <w:r w:rsidR="009548E9" w:rsidRPr="000C349E">
        <w:rPr>
          <w:sz w:val="28"/>
          <w:szCs w:val="28"/>
        </w:rPr>
        <w:t xml:space="preserve"> Familia de</w:t>
      </w:r>
      <w:r w:rsidRPr="000C349E">
        <w:rPr>
          <w:sz w:val="28"/>
          <w:szCs w:val="28"/>
        </w:rPr>
        <w:t xml:space="preserve"> Bogotá para que se entendieran vinculadas al trámite de la referencia, así como para que </w:t>
      </w:r>
      <w:r w:rsidR="009548E9" w:rsidRPr="000C349E">
        <w:rPr>
          <w:sz w:val="28"/>
          <w:szCs w:val="28"/>
        </w:rPr>
        <w:t>allegaran</w:t>
      </w:r>
      <w:r w:rsidRPr="000C349E">
        <w:rPr>
          <w:sz w:val="28"/>
          <w:szCs w:val="28"/>
        </w:rPr>
        <w:t xml:space="preserve"> un informe de las actuaciones realizadas en torno al caso de Ángel Abad Hoyos Fernández</w:t>
      </w:r>
      <w:r w:rsidR="009548E9" w:rsidRPr="000C349E">
        <w:rPr>
          <w:sz w:val="28"/>
          <w:szCs w:val="28"/>
        </w:rPr>
        <w:t xml:space="preserve"> puesto a su consideración por</w:t>
      </w:r>
      <w:r w:rsidR="00A16BC2" w:rsidRPr="000C349E">
        <w:rPr>
          <w:sz w:val="28"/>
          <w:szCs w:val="28"/>
        </w:rPr>
        <w:t xml:space="preserve"> los agentes</w:t>
      </w:r>
      <w:r w:rsidR="009548E9" w:rsidRPr="000C349E">
        <w:rPr>
          <w:sz w:val="28"/>
          <w:szCs w:val="28"/>
        </w:rPr>
        <w:t xml:space="preserve"> </w:t>
      </w:r>
      <w:r w:rsidR="00A16BC2" w:rsidRPr="000C349E">
        <w:rPr>
          <w:sz w:val="28"/>
          <w:szCs w:val="28"/>
        </w:rPr>
        <w:t>d</w:t>
      </w:r>
      <w:r w:rsidR="00F46788" w:rsidRPr="000C349E">
        <w:rPr>
          <w:sz w:val="28"/>
          <w:szCs w:val="28"/>
        </w:rPr>
        <w:t xml:space="preserve">el Ministerio Público. </w:t>
      </w:r>
    </w:p>
    <w:p w:rsidR="009548E9" w:rsidRPr="000C349E" w:rsidRDefault="009548E9" w:rsidP="000C349E">
      <w:pPr>
        <w:ind w:right="227"/>
        <w:jc w:val="both"/>
        <w:rPr>
          <w:sz w:val="28"/>
          <w:szCs w:val="28"/>
        </w:rPr>
      </w:pPr>
    </w:p>
    <w:p w:rsidR="009548E9" w:rsidRPr="000C349E" w:rsidRDefault="009548E9" w:rsidP="000C349E">
      <w:pPr>
        <w:jc w:val="both"/>
        <w:rPr>
          <w:sz w:val="28"/>
          <w:szCs w:val="28"/>
        </w:rPr>
      </w:pPr>
      <w:r w:rsidRPr="000C349E">
        <w:rPr>
          <w:sz w:val="28"/>
          <w:szCs w:val="28"/>
        </w:rPr>
        <w:t>2.2. Al respecto, cabe resaltar que de conformidad con lo dispuesto en el artículo 64 del Reglamento Interno de la Corte, en dichos proveídos se dispuso que: (i) una vez fueran recaudadas las pruebas decretadas, las mismas debían ser puestas a consideración de las partes, así como que (ii) los términos para fallar se suspenderían mientras se adelantaban tales actuaciones.</w:t>
      </w:r>
    </w:p>
    <w:p w:rsidR="009548E9" w:rsidRPr="000C349E" w:rsidRDefault="009548E9" w:rsidP="000C349E">
      <w:pPr>
        <w:jc w:val="both"/>
        <w:rPr>
          <w:sz w:val="28"/>
          <w:szCs w:val="28"/>
        </w:rPr>
      </w:pPr>
    </w:p>
    <w:p w:rsidR="00100D39" w:rsidRPr="000C349E" w:rsidRDefault="009548E9" w:rsidP="000C349E">
      <w:pPr>
        <w:jc w:val="both"/>
        <w:rPr>
          <w:sz w:val="28"/>
          <w:szCs w:val="28"/>
        </w:rPr>
      </w:pPr>
      <w:r w:rsidRPr="000C349E">
        <w:rPr>
          <w:sz w:val="28"/>
          <w:szCs w:val="28"/>
        </w:rPr>
        <w:t xml:space="preserve">2.3. </w:t>
      </w:r>
      <w:r w:rsidR="00100D39" w:rsidRPr="000C349E">
        <w:rPr>
          <w:sz w:val="28"/>
          <w:szCs w:val="28"/>
        </w:rPr>
        <w:t>En cumplimiento de dichos proveídos, Famisanar EPS, Proseguir IPS, la Secretaría Distrital de Integración Social,</w:t>
      </w:r>
      <w:r w:rsidR="00025A91" w:rsidRPr="000C349E">
        <w:rPr>
          <w:sz w:val="28"/>
          <w:szCs w:val="28"/>
        </w:rPr>
        <w:t xml:space="preserve"> y</w:t>
      </w:r>
      <w:r w:rsidR="00100D39" w:rsidRPr="000C349E">
        <w:rPr>
          <w:sz w:val="28"/>
          <w:szCs w:val="28"/>
        </w:rPr>
        <w:t xml:space="preserve"> las Comisarías Sexta y Trece de Familia de Bogotá</w:t>
      </w:r>
      <w:r w:rsidR="00025A91" w:rsidRPr="000C349E">
        <w:rPr>
          <w:sz w:val="28"/>
          <w:szCs w:val="28"/>
        </w:rPr>
        <w:t xml:space="preserve"> </w:t>
      </w:r>
      <w:r w:rsidR="00100D39" w:rsidRPr="000C349E">
        <w:rPr>
          <w:sz w:val="28"/>
          <w:szCs w:val="28"/>
        </w:rPr>
        <w:t>se pronunciaron y allegaron los informes solicitados, cuya información relevante para el caso se sintetizará en el siguiente acápite.</w:t>
      </w:r>
      <w:r w:rsidR="0093595F" w:rsidRPr="000C349E">
        <w:rPr>
          <w:sz w:val="28"/>
          <w:szCs w:val="28"/>
        </w:rPr>
        <w:t xml:space="preserve"> </w:t>
      </w:r>
    </w:p>
    <w:p w:rsidR="00100D39" w:rsidRPr="000C349E" w:rsidRDefault="00100D39" w:rsidP="000C349E">
      <w:pPr>
        <w:jc w:val="both"/>
        <w:rPr>
          <w:sz w:val="28"/>
          <w:szCs w:val="28"/>
        </w:rPr>
      </w:pPr>
    </w:p>
    <w:p w:rsidR="00C63635" w:rsidRPr="000C349E" w:rsidRDefault="00100D39" w:rsidP="000C349E">
      <w:pPr>
        <w:jc w:val="both"/>
        <w:rPr>
          <w:sz w:val="28"/>
          <w:szCs w:val="28"/>
        </w:rPr>
      </w:pPr>
      <w:r w:rsidRPr="000C349E">
        <w:rPr>
          <w:sz w:val="28"/>
          <w:szCs w:val="28"/>
        </w:rPr>
        <w:t xml:space="preserve">2.4. </w:t>
      </w:r>
      <w:r w:rsidR="00C63635" w:rsidRPr="000C349E">
        <w:rPr>
          <w:sz w:val="28"/>
          <w:szCs w:val="28"/>
        </w:rPr>
        <w:t>Por lo demás</w:t>
      </w:r>
      <w:r w:rsidR="009548E9" w:rsidRPr="000C349E">
        <w:rPr>
          <w:sz w:val="28"/>
          <w:szCs w:val="28"/>
        </w:rPr>
        <w:t xml:space="preserve">, </w:t>
      </w:r>
      <w:r w:rsidR="00C63635" w:rsidRPr="000C349E">
        <w:rPr>
          <w:sz w:val="28"/>
          <w:szCs w:val="28"/>
        </w:rPr>
        <w:t>es pertinente mencionar que con el fin de verificar el alcance del amparo otorgado en el año 2015 a Ángel Abad Hoyos Fernández</w:t>
      </w:r>
      <w:r w:rsidRPr="000C349E">
        <w:rPr>
          <w:sz w:val="28"/>
          <w:szCs w:val="28"/>
        </w:rPr>
        <w:t xml:space="preserve">, </w:t>
      </w:r>
      <w:r w:rsidR="009548E9" w:rsidRPr="000C349E">
        <w:rPr>
          <w:sz w:val="28"/>
          <w:szCs w:val="28"/>
        </w:rPr>
        <w:t>mediante Auto del</w:t>
      </w:r>
      <w:r w:rsidR="00C63635" w:rsidRPr="000C349E">
        <w:rPr>
          <w:sz w:val="28"/>
          <w:szCs w:val="28"/>
        </w:rPr>
        <w:t xml:space="preserve"> 5 de agosto de 2019, el magistrado ponente requirió a la Oficina de</w:t>
      </w:r>
      <w:r w:rsidR="009548E9" w:rsidRPr="000C349E">
        <w:rPr>
          <w:sz w:val="28"/>
          <w:szCs w:val="28"/>
        </w:rPr>
        <w:t xml:space="preserve"> </w:t>
      </w:r>
      <w:r w:rsidR="00C63635" w:rsidRPr="000C349E">
        <w:rPr>
          <w:sz w:val="28"/>
          <w:szCs w:val="28"/>
        </w:rPr>
        <w:t>Archivo de la Rama Judicial para que remitiera en calidad de préstamo el expediente de tutela con número de radicado 11001-40-03-038-2015-01584-00</w:t>
      </w:r>
      <w:r w:rsidRPr="000C349E">
        <w:rPr>
          <w:rStyle w:val="Refdenotaalpie"/>
          <w:sz w:val="28"/>
          <w:szCs w:val="28"/>
        </w:rPr>
        <w:footnoteReference w:id="30"/>
      </w:r>
      <w:r w:rsidR="00C63635" w:rsidRPr="000C349E">
        <w:rPr>
          <w:sz w:val="28"/>
          <w:szCs w:val="28"/>
        </w:rPr>
        <w:t>, el cual fue allegado en su debida oportunidad</w:t>
      </w:r>
      <w:r w:rsidRPr="000C349E">
        <w:rPr>
          <w:sz w:val="28"/>
          <w:szCs w:val="28"/>
        </w:rPr>
        <w:t xml:space="preserve"> y cuya información relevante para el trámite</w:t>
      </w:r>
      <w:r w:rsidRPr="000C349E">
        <w:rPr>
          <w:sz w:val="28"/>
          <w:szCs w:val="28"/>
          <w:lang w:val="es-CO"/>
        </w:rPr>
        <w:t xml:space="preserve"> de la referencia</w:t>
      </w:r>
      <w:r w:rsidRPr="000C349E">
        <w:rPr>
          <w:sz w:val="28"/>
          <w:szCs w:val="28"/>
        </w:rPr>
        <w:t xml:space="preserve"> </w:t>
      </w:r>
      <w:r w:rsidR="00A16BC2" w:rsidRPr="000C349E">
        <w:rPr>
          <w:sz w:val="28"/>
          <w:szCs w:val="28"/>
        </w:rPr>
        <w:t xml:space="preserve">por razones metodológicas </w:t>
      </w:r>
      <w:r w:rsidRPr="000C349E">
        <w:rPr>
          <w:sz w:val="28"/>
          <w:szCs w:val="28"/>
        </w:rPr>
        <w:t>fue reseñada en los antecedentes de este fallo</w:t>
      </w:r>
      <w:r w:rsidRPr="000C349E">
        <w:rPr>
          <w:rStyle w:val="Refdenotaalpie"/>
          <w:sz w:val="28"/>
          <w:szCs w:val="28"/>
        </w:rPr>
        <w:footnoteReference w:id="31"/>
      </w:r>
      <w:r w:rsidR="00C63635" w:rsidRPr="000C349E">
        <w:rPr>
          <w:sz w:val="28"/>
          <w:szCs w:val="28"/>
        </w:rPr>
        <w:t>.</w:t>
      </w:r>
    </w:p>
    <w:p w:rsidR="00100D39" w:rsidRPr="000C349E" w:rsidRDefault="00100D39" w:rsidP="000C349E">
      <w:pPr>
        <w:jc w:val="both"/>
        <w:rPr>
          <w:bCs/>
          <w:sz w:val="28"/>
          <w:szCs w:val="28"/>
        </w:rPr>
      </w:pPr>
    </w:p>
    <w:p w:rsidR="00100D39" w:rsidRPr="000C349E" w:rsidRDefault="00100D39" w:rsidP="000C349E">
      <w:pPr>
        <w:jc w:val="both"/>
        <w:rPr>
          <w:b/>
          <w:sz w:val="28"/>
          <w:szCs w:val="28"/>
        </w:rPr>
      </w:pPr>
      <w:r w:rsidRPr="000C349E">
        <w:rPr>
          <w:b/>
          <w:sz w:val="28"/>
          <w:szCs w:val="28"/>
        </w:rPr>
        <w:t>3. Informes de las autoridades rendidos en sede de revisión</w:t>
      </w:r>
    </w:p>
    <w:p w:rsidR="00100D39" w:rsidRPr="000C349E" w:rsidRDefault="00100D39" w:rsidP="000C349E">
      <w:pPr>
        <w:jc w:val="both"/>
        <w:rPr>
          <w:bCs/>
          <w:sz w:val="28"/>
          <w:szCs w:val="28"/>
        </w:rPr>
      </w:pPr>
    </w:p>
    <w:p w:rsidR="002A1F8A" w:rsidRPr="000C349E" w:rsidRDefault="002A1F8A" w:rsidP="000C349E">
      <w:pPr>
        <w:jc w:val="both"/>
        <w:rPr>
          <w:bCs/>
          <w:sz w:val="28"/>
          <w:szCs w:val="28"/>
        </w:rPr>
      </w:pPr>
      <w:r w:rsidRPr="000C349E">
        <w:rPr>
          <w:bCs/>
          <w:sz w:val="28"/>
          <w:szCs w:val="28"/>
        </w:rPr>
        <w:t xml:space="preserve">3.1. El 14 de marzo de 2019, </w:t>
      </w:r>
      <w:r w:rsidRPr="000C349E">
        <w:rPr>
          <w:b/>
          <w:i/>
          <w:iCs/>
          <w:sz w:val="28"/>
          <w:szCs w:val="28"/>
        </w:rPr>
        <w:t>Famisanar EPS</w:t>
      </w:r>
      <w:r w:rsidRPr="000C349E">
        <w:rPr>
          <w:bCs/>
          <w:sz w:val="28"/>
          <w:szCs w:val="28"/>
        </w:rPr>
        <w:t xml:space="preserve"> allegó un oficio en el que sostuvo que no ha adelantado el procedimiento de calificación de la pérdida de capacidad laboral de Ángel Abad Hoyos Fernández, pues el mismo debe ser llevado a cabo por su fondo de pensiones de conformidad con lo dispuesto en la Ley 100 de 1993</w:t>
      </w:r>
      <w:r w:rsidRPr="000C349E">
        <w:rPr>
          <w:rStyle w:val="Refdenotaalpie"/>
          <w:bCs/>
          <w:sz w:val="28"/>
          <w:szCs w:val="28"/>
        </w:rPr>
        <w:footnoteReference w:id="32"/>
      </w:r>
      <w:r w:rsidRPr="000C349E">
        <w:rPr>
          <w:bCs/>
          <w:sz w:val="28"/>
          <w:szCs w:val="28"/>
        </w:rPr>
        <w:t xml:space="preserve">. </w:t>
      </w:r>
    </w:p>
    <w:p w:rsidR="002A1F8A" w:rsidRPr="000C349E" w:rsidRDefault="002A1F8A" w:rsidP="000C349E">
      <w:pPr>
        <w:jc w:val="both"/>
        <w:rPr>
          <w:bCs/>
          <w:sz w:val="28"/>
          <w:szCs w:val="28"/>
        </w:rPr>
      </w:pPr>
    </w:p>
    <w:p w:rsidR="00234A7B" w:rsidRPr="000C349E" w:rsidRDefault="002A1F8A" w:rsidP="000C349E">
      <w:pPr>
        <w:jc w:val="both"/>
        <w:rPr>
          <w:bCs/>
          <w:sz w:val="28"/>
          <w:szCs w:val="28"/>
        </w:rPr>
      </w:pPr>
      <w:r w:rsidRPr="000C349E">
        <w:rPr>
          <w:bCs/>
          <w:sz w:val="28"/>
          <w:szCs w:val="28"/>
        </w:rPr>
        <w:t>3.2.</w:t>
      </w:r>
      <w:r w:rsidR="00D405C6" w:rsidRPr="000C349E">
        <w:rPr>
          <w:bCs/>
          <w:sz w:val="28"/>
          <w:szCs w:val="28"/>
        </w:rPr>
        <w:t xml:space="preserve"> Sin embargo</w:t>
      </w:r>
      <w:r w:rsidRPr="000C349E">
        <w:rPr>
          <w:bCs/>
          <w:sz w:val="28"/>
          <w:szCs w:val="28"/>
        </w:rPr>
        <w:t xml:space="preserve">, </w:t>
      </w:r>
      <w:r w:rsidR="000D0509" w:rsidRPr="000C349E">
        <w:rPr>
          <w:bCs/>
          <w:sz w:val="28"/>
          <w:szCs w:val="28"/>
        </w:rPr>
        <w:t>la EPS</w:t>
      </w:r>
      <w:r w:rsidRPr="000C349E">
        <w:rPr>
          <w:bCs/>
          <w:sz w:val="28"/>
          <w:szCs w:val="28"/>
        </w:rPr>
        <w:t xml:space="preserve"> anexó copia del certificado que expidió el 25 de julio de 2018 a efectos de que el mencionado ciudadano</w:t>
      </w:r>
      <w:r w:rsidR="00A16BC2" w:rsidRPr="000C349E">
        <w:rPr>
          <w:bCs/>
          <w:sz w:val="28"/>
          <w:szCs w:val="28"/>
        </w:rPr>
        <w:t xml:space="preserve">, de conformidad con lo dispuesto en la Ley 361 de 1997, </w:t>
      </w:r>
      <w:r w:rsidRPr="000C349E">
        <w:rPr>
          <w:bCs/>
          <w:sz w:val="28"/>
          <w:szCs w:val="28"/>
        </w:rPr>
        <w:t>pudiera beneficiarse de los programas públicos dirigidos a person</w:t>
      </w:r>
      <w:r w:rsidR="00A16BC2" w:rsidRPr="000C349E">
        <w:rPr>
          <w:bCs/>
          <w:sz w:val="28"/>
          <w:szCs w:val="28"/>
        </w:rPr>
        <w:t>as en situación de discapacidad. En dicho documento</w:t>
      </w:r>
      <w:r w:rsidR="00234A7B" w:rsidRPr="000C349E">
        <w:rPr>
          <w:bCs/>
          <w:sz w:val="28"/>
          <w:szCs w:val="28"/>
        </w:rPr>
        <w:t xml:space="preserve">: </w:t>
      </w:r>
    </w:p>
    <w:p w:rsidR="00234A7B" w:rsidRPr="000C349E" w:rsidRDefault="00234A7B" w:rsidP="000C349E">
      <w:pPr>
        <w:jc w:val="both"/>
        <w:rPr>
          <w:bCs/>
          <w:sz w:val="28"/>
          <w:szCs w:val="28"/>
        </w:rPr>
      </w:pPr>
    </w:p>
    <w:p w:rsidR="00234A7B" w:rsidRPr="000C349E" w:rsidRDefault="00234A7B" w:rsidP="000C349E">
      <w:pPr>
        <w:ind w:left="227" w:right="227"/>
        <w:jc w:val="both"/>
        <w:rPr>
          <w:sz w:val="28"/>
          <w:szCs w:val="28"/>
        </w:rPr>
      </w:pPr>
      <w:r w:rsidRPr="000C349E">
        <w:rPr>
          <w:bCs/>
          <w:sz w:val="28"/>
          <w:szCs w:val="28"/>
        </w:rPr>
        <w:t xml:space="preserve">(i) Se indica que </w:t>
      </w:r>
      <w:r w:rsidR="00F46788" w:rsidRPr="000C349E">
        <w:rPr>
          <w:sz w:val="28"/>
          <w:szCs w:val="28"/>
        </w:rPr>
        <w:t>Ángel Abad</w:t>
      </w:r>
      <w:r w:rsidR="002A1F8A" w:rsidRPr="000C349E">
        <w:rPr>
          <w:sz w:val="28"/>
          <w:szCs w:val="28"/>
        </w:rPr>
        <w:t xml:space="preserve"> Hoyos Fernández tiene un grado de </w:t>
      </w:r>
      <w:r w:rsidR="002A1F8A" w:rsidRPr="000C349E">
        <w:rPr>
          <w:i/>
          <w:iCs/>
          <w:sz w:val="28"/>
          <w:szCs w:val="28"/>
        </w:rPr>
        <w:t>“discapacidad severa”</w:t>
      </w:r>
      <w:r w:rsidRPr="000C349E">
        <w:rPr>
          <w:sz w:val="28"/>
          <w:szCs w:val="28"/>
        </w:rPr>
        <w:t xml:space="preserve"> </w:t>
      </w:r>
      <w:r w:rsidR="002A1F8A" w:rsidRPr="000C349E">
        <w:rPr>
          <w:sz w:val="28"/>
          <w:szCs w:val="28"/>
        </w:rPr>
        <w:t xml:space="preserve">de tipo </w:t>
      </w:r>
      <w:r w:rsidR="002A1F8A" w:rsidRPr="000C349E">
        <w:rPr>
          <w:i/>
          <w:iCs/>
          <w:sz w:val="28"/>
          <w:szCs w:val="28"/>
        </w:rPr>
        <w:t>“física”</w:t>
      </w:r>
      <w:r w:rsidR="002A1F8A" w:rsidRPr="000C349E">
        <w:rPr>
          <w:sz w:val="28"/>
          <w:szCs w:val="28"/>
        </w:rPr>
        <w:t xml:space="preserve">, originada en las secuelas de un evento cerebrovascular hemorrágico, que le generaron un </w:t>
      </w:r>
      <w:r w:rsidR="002A1F8A" w:rsidRPr="000C349E">
        <w:rPr>
          <w:i/>
          <w:iCs/>
          <w:sz w:val="28"/>
          <w:szCs w:val="28"/>
        </w:rPr>
        <w:t>“déficit motor”</w:t>
      </w:r>
      <w:r w:rsidR="002A1F8A" w:rsidRPr="000C349E">
        <w:rPr>
          <w:sz w:val="28"/>
          <w:szCs w:val="28"/>
        </w:rPr>
        <w:t xml:space="preserve"> y </w:t>
      </w:r>
      <w:r w:rsidRPr="000C349E">
        <w:rPr>
          <w:sz w:val="28"/>
          <w:szCs w:val="28"/>
        </w:rPr>
        <w:t xml:space="preserve">una </w:t>
      </w:r>
      <w:r w:rsidR="002A1F8A" w:rsidRPr="000C349E">
        <w:rPr>
          <w:sz w:val="28"/>
          <w:szCs w:val="28"/>
        </w:rPr>
        <w:t xml:space="preserve">limitación en la movilidad del </w:t>
      </w:r>
      <w:r w:rsidR="002A1F8A" w:rsidRPr="000C349E">
        <w:rPr>
          <w:i/>
          <w:iCs/>
          <w:sz w:val="28"/>
          <w:szCs w:val="28"/>
        </w:rPr>
        <w:t>“hemicuerpo izquierdo”</w:t>
      </w:r>
      <w:r w:rsidR="002A1F8A" w:rsidRPr="000C349E">
        <w:rPr>
          <w:sz w:val="28"/>
          <w:szCs w:val="28"/>
        </w:rPr>
        <w:t xml:space="preserve">, pero </w:t>
      </w:r>
      <w:r w:rsidR="00F46788" w:rsidRPr="000C349E">
        <w:rPr>
          <w:sz w:val="28"/>
          <w:szCs w:val="28"/>
        </w:rPr>
        <w:t xml:space="preserve">que </w:t>
      </w:r>
      <w:r w:rsidR="002A1F8A" w:rsidRPr="000C349E">
        <w:rPr>
          <w:sz w:val="28"/>
          <w:szCs w:val="28"/>
        </w:rPr>
        <w:t xml:space="preserve">no afectaron sus </w:t>
      </w:r>
      <w:r w:rsidR="002A1F8A" w:rsidRPr="000C349E">
        <w:rPr>
          <w:i/>
          <w:iCs/>
          <w:sz w:val="28"/>
          <w:szCs w:val="28"/>
        </w:rPr>
        <w:t>“destrezas cognitivas como coordinación, secuenciación, asociación y resolución de problemas”</w:t>
      </w:r>
      <w:r w:rsidR="002A1F8A" w:rsidRPr="000C349E">
        <w:rPr>
          <w:rStyle w:val="Refdenotaalpie"/>
          <w:sz w:val="28"/>
          <w:szCs w:val="28"/>
        </w:rPr>
        <w:footnoteReference w:id="33"/>
      </w:r>
      <w:r w:rsidR="002A1F8A" w:rsidRPr="000C349E">
        <w:rPr>
          <w:sz w:val="28"/>
          <w:szCs w:val="28"/>
        </w:rPr>
        <w:t xml:space="preserve">. </w:t>
      </w:r>
    </w:p>
    <w:p w:rsidR="00234A7B" w:rsidRPr="000C349E" w:rsidRDefault="00234A7B" w:rsidP="000C349E">
      <w:pPr>
        <w:ind w:left="227" w:right="227"/>
        <w:jc w:val="both"/>
        <w:rPr>
          <w:sz w:val="28"/>
          <w:szCs w:val="28"/>
        </w:rPr>
      </w:pPr>
    </w:p>
    <w:p w:rsidR="002A1F8A" w:rsidRPr="000C349E" w:rsidRDefault="00234A7B" w:rsidP="000C349E">
      <w:pPr>
        <w:ind w:left="227" w:right="227"/>
        <w:jc w:val="both"/>
        <w:rPr>
          <w:sz w:val="28"/>
          <w:szCs w:val="28"/>
        </w:rPr>
      </w:pPr>
      <w:r w:rsidRPr="000C349E">
        <w:rPr>
          <w:sz w:val="28"/>
          <w:szCs w:val="28"/>
        </w:rPr>
        <w:t xml:space="preserve">(ii) Se aclara que </w:t>
      </w:r>
      <w:r w:rsidR="002A1F8A" w:rsidRPr="000C349E">
        <w:rPr>
          <w:sz w:val="28"/>
          <w:szCs w:val="28"/>
        </w:rPr>
        <w:t>se trata de una certificación provision</w:t>
      </w:r>
      <w:r w:rsidR="00F46788" w:rsidRPr="000C349E">
        <w:rPr>
          <w:sz w:val="28"/>
          <w:szCs w:val="28"/>
        </w:rPr>
        <w:t xml:space="preserve">al, </w:t>
      </w:r>
      <w:r w:rsidR="002A1F8A" w:rsidRPr="000C349E">
        <w:rPr>
          <w:sz w:val="28"/>
          <w:szCs w:val="28"/>
        </w:rPr>
        <w:t xml:space="preserve">mientras se efectúa la valoración por fisiatría con el propósito de que </w:t>
      </w:r>
      <w:r w:rsidR="00F46788" w:rsidRPr="000C349E">
        <w:rPr>
          <w:sz w:val="28"/>
          <w:szCs w:val="28"/>
        </w:rPr>
        <w:t xml:space="preserve">evaluar </w:t>
      </w:r>
      <w:r w:rsidR="002A1F8A" w:rsidRPr="000C349E">
        <w:rPr>
          <w:sz w:val="28"/>
          <w:szCs w:val="28"/>
        </w:rPr>
        <w:t xml:space="preserve">el estado </w:t>
      </w:r>
      <w:r w:rsidR="00F46788" w:rsidRPr="000C349E">
        <w:rPr>
          <w:sz w:val="28"/>
          <w:szCs w:val="28"/>
        </w:rPr>
        <w:t>del paciente de manera integral</w:t>
      </w:r>
      <w:r w:rsidR="00D405C6" w:rsidRPr="000C349E">
        <w:rPr>
          <w:sz w:val="28"/>
          <w:szCs w:val="28"/>
        </w:rPr>
        <w:t>.</w:t>
      </w:r>
      <w:r w:rsidR="0093595F" w:rsidRPr="000C349E">
        <w:rPr>
          <w:sz w:val="28"/>
          <w:szCs w:val="28"/>
        </w:rPr>
        <w:t xml:space="preserve"> </w:t>
      </w:r>
    </w:p>
    <w:p w:rsidR="002A1F8A" w:rsidRPr="000C349E" w:rsidRDefault="002A1F8A" w:rsidP="000C349E">
      <w:pPr>
        <w:jc w:val="both"/>
        <w:rPr>
          <w:bCs/>
          <w:sz w:val="28"/>
          <w:szCs w:val="28"/>
        </w:rPr>
      </w:pPr>
    </w:p>
    <w:p w:rsidR="00D405C6" w:rsidRPr="000C349E" w:rsidRDefault="00D405C6" w:rsidP="000C349E">
      <w:pPr>
        <w:jc w:val="both"/>
        <w:rPr>
          <w:bCs/>
          <w:sz w:val="28"/>
          <w:szCs w:val="28"/>
        </w:rPr>
      </w:pPr>
      <w:r w:rsidRPr="000C349E">
        <w:rPr>
          <w:bCs/>
          <w:sz w:val="28"/>
          <w:szCs w:val="28"/>
        </w:rPr>
        <w:t xml:space="preserve">3.3. El 15 de marzo de 2019, </w:t>
      </w:r>
      <w:r w:rsidR="00F5123A" w:rsidRPr="000C349E">
        <w:rPr>
          <w:b/>
          <w:i/>
          <w:iCs/>
          <w:sz w:val="28"/>
          <w:szCs w:val="28"/>
        </w:rPr>
        <w:t>Proseguir IPS</w:t>
      </w:r>
      <w:r w:rsidR="00F5123A" w:rsidRPr="000C349E">
        <w:rPr>
          <w:bCs/>
          <w:sz w:val="28"/>
          <w:szCs w:val="28"/>
        </w:rPr>
        <w:t xml:space="preserve"> remitió copia de la historia clínica de </w:t>
      </w:r>
      <w:r w:rsidR="00F5123A" w:rsidRPr="000C349E">
        <w:rPr>
          <w:sz w:val="28"/>
          <w:szCs w:val="28"/>
        </w:rPr>
        <w:t>Ángel Abad Hoyos Fernánde</w:t>
      </w:r>
      <w:r w:rsidRPr="000C349E">
        <w:rPr>
          <w:sz w:val="28"/>
          <w:szCs w:val="28"/>
        </w:rPr>
        <w:t xml:space="preserve">z, </w:t>
      </w:r>
      <w:r w:rsidRPr="000C349E">
        <w:rPr>
          <w:bCs/>
          <w:sz w:val="28"/>
          <w:szCs w:val="28"/>
        </w:rPr>
        <w:t xml:space="preserve">en la cual </w:t>
      </w:r>
      <w:r w:rsidR="00F5123A" w:rsidRPr="000C349E">
        <w:rPr>
          <w:bCs/>
          <w:sz w:val="28"/>
          <w:szCs w:val="28"/>
        </w:rPr>
        <w:t>señala qu</w:t>
      </w:r>
      <w:r w:rsidR="002D5E30" w:rsidRPr="000C349E">
        <w:rPr>
          <w:bCs/>
          <w:sz w:val="28"/>
          <w:szCs w:val="28"/>
        </w:rPr>
        <w:t>e</w:t>
      </w:r>
      <w:r w:rsidRPr="000C349E">
        <w:rPr>
          <w:rStyle w:val="Refdenotaalpie"/>
          <w:sz w:val="28"/>
          <w:szCs w:val="28"/>
        </w:rPr>
        <w:footnoteReference w:id="34"/>
      </w:r>
      <w:r w:rsidRPr="000C349E">
        <w:rPr>
          <w:bCs/>
          <w:sz w:val="28"/>
          <w:szCs w:val="28"/>
        </w:rPr>
        <w:t>:</w:t>
      </w:r>
      <w:r w:rsidR="00AA5414" w:rsidRPr="000C349E">
        <w:rPr>
          <w:bCs/>
          <w:sz w:val="28"/>
          <w:szCs w:val="28"/>
        </w:rPr>
        <w:t xml:space="preserve"> </w:t>
      </w:r>
    </w:p>
    <w:p w:rsidR="00D405C6" w:rsidRPr="000C349E" w:rsidRDefault="00D405C6" w:rsidP="000C349E">
      <w:pPr>
        <w:jc w:val="both"/>
        <w:rPr>
          <w:bCs/>
          <w:sz w:val="28"/>
          <w:szCs w:val="28"/>
        </w:rPr>
      </w:pPr>
    </w:p>
    <w:p w:rsidR="00D405C6" w:rsidRPr="000C349E" w:rsidRDefault="00D405C6" w:rsidP="000C349E">
      <w:pPr>
        <w:ind w:left="227" w:right="227"/>
        <w:jc w:val="both"/>
        <w:rPr>
          <w:sz w:val="28"/>
          <w:szCs w:val="28"/>
        </w:rPr>
      </w:pPr>
      <w:r w:rsidRPr="000C349E">
        <w:rPr>
          <w:bCs/>
          <w:sz w:val="28"/>
          <w:szCs w:val="28"/>
        </w:rPr>
        <w:t>(i) E</w:t>
      </w:r>
      <w:r w:rsidR="0053723E" w:rsidRPr="000C349E">
        <w:rPr>
          <w:bCs/>
          <w:sz w:val="28"/>
          <w:szCs w:val="28"/>
        </w:rPr>
        <w:t xml:space="preserve">s un </w:t>
      </w:r>
      <w:r w:rsidR="002D5E30" w:rsidRPr="000C349E">
        <w:rPr>
          <w:bCs/>
          <w:i/>
          <w:iCs/>
          <w:sz w:val="28"/>
          <w:szCs w:val="28"/>
        </w:rPr>
        <w:t>“</w:t>
      </w:r>
      <w:r w:rsidR="002D5E30" w:rsidRPr="000C349E">
        <w:rPr>
          <w:i/>
          <w:iCs/>
          <w:sz w:val="28"/>
          <w:szCs w:val="28"/>
        </w:rPr>
        <w:t>paciente masculino de 50 años de edad</w:t>
      </w:r>
      <w:r w:rsidR="0053723E" w:rsidRPr="000C349E">
        <w:rPr>
          <w:i/>
          <w:iCs/>
          <w:sz w:val="28"/>
          <w:szCs w:val="28"/>
        </w:rPr>
        <w:t>,</w:t>
      </w:r>
      <w:r w:rsidR="002D5E30" w:rsidRPr="000C349E">
        <w:rPr>
          <w:i/>
          <w:iCs/>
          <w:sz w:val="28"/>
          <w:szCs w:val="28"/>
        </w:rPr>
        <w:t xml:space="preserve"> con secuelas de evento cerebrovascular de origen hemorrágico ganglio basal derecho</w:t>
      </w:r>
      <w:r w:rsidR="0053723E" w:rsidRPr="000C349E">
        <w:rPr>
          <w:i/>
          <w:iCs/>
          <w:sz w:val="28"/>
          <w:szCs w:val="28"/>
        </w:rPr>
        <w:t>”</w:t>
      </w:r>
      <w:r w:rsidR="0053723E" w:rsidRPr="000C349E">
        <w:rPr>
          <w:sz w:val="28"/>
          <w:szCs w:val="28"/>
        </w:rPr>
        <w:t xml:space="preserve"> y</w:t>
      </w:r>
      <w:r w:rsidR="002D5E30" w:rsidRPr="000C349E">
        <w:rPr>
          <w:i/>
          <w:iCs/>
          <w:sz w:val="28"/>
          <w:szCs w:val="28"/>
        </w:rPr>
        <w:t xml:space="preserve"> </w:t>
      </w:r>
      <w:r w:rsidR="0053723E" w:rsidRPr="000C349E">
        <w:rPr>
          <w:i/>
          <w:iCs/>
          <w:sz w:val="28"/>
          <w:szCs w:val="28"/>
        </w:rPr>
        <w:t>“</w:t>
      </w:r>
      <w:r w:rsidR="002D5E30" w:rsidRPr="000C349E">
        <w:rPr>
          <w:i/>
          <w:iCs/>
          <w:sz w:val="28"/>
          <w:szCs w:val="28"/>
        </w:rPr>
        <w:t>hemiparesia izquierda secundaria”</w:t>
      </w:r>
      <w:r w:rsidR="002D5E30" w:rsidRPr="000C349E">
        <w:rPr>
          <w:sz w:val="28"/>
          <w:szCs w:val="28"/>
        </w:rPr>
        <w:t xml:space="preserve">, el cual se encuentra </w:t>
      </w:r>
      <w:r w:rsidR="002D5E30" w:rsidRPr="000C349E">
        <w:rPr>
          <w:i/>
          <w:iCs/>
          <w:sz w:val="28"/>
          <w:szCs w:val="28"/>
        </w:rPr>
        <w:t>“en plan de rehabilitación integral en unidad de cuidado crónico con respuesta favorable a la terapia”</w:t>
      </w:r>
      <w:r w:rsidR="002D5E30" w:rsidRPr="000C349E">
        <w:rPr>
          <w:sz w:val="28"/>
          <w:szCs w:val="28"/>
        </w:rPr>
        <w:t xml:space="preserve">. En </w:t>
      </w:r>
      <w:r w:rsidR="0053723E" w:rsidRPr="000C349E">
        <w:rPr>
          <w:sz w:val="28"/>
          <w:szCs w:val="28"/>
        </w:rPr>
        <w:t>efecto</w:t>
      </w:r>
      <w:r w:rsidR="002D5E30" w:rsidRPr="000C349E">
        <w:rPr>
          <w:sz w:val="28"/>
          <w:szCs w:val="28"/>
        </w:rPr>
        <w:t>, se resalta que</w:t>
      </w:r>
      <w:r w:rsidR="0053723E" w:rsidRPr="000C349E">
        <w:rPr>
          <w:sz w:val="28"/>
          <w:szCs w:val="28"/>
        </w:rPr>
        <w:t xml:space="preserve"> </w:t>
      </w:r>
      <w:r w:rsidR="004012EA" w:rsidRPr="000C349E">
        <w:rPr>
          <w:sz w:val="28"/>
          <w:szCs w:val="28"/>
        </w:rPr>
        <w:t xml:space="preserve">el interno </w:t>
      </w:r>
      <w:r w:rsidR="002D5E30" w:rsidRPr="000C349E">
        <w:rPr>
          <w:i/>
          <w:iCs/>
          <w:sz w:val="28"/>
          <w:szCs w:val="28"/>
        </w:rPr>
        <w:t xml:space="preserve">“actualmente </w:t>
      </w:r>
      <w:r w:rsidR="0053723E" w:rsidRPr="000C349E">
        <w:rPr>
          <w:i/>
          <w:iCs/>
          <w:sz w:val="28"/>
          <w:szCs w:val="28"/>
        </w:rPr>
        <w:t xml:space="preserve">tiene </w:t>
      </w:r>
      <w:r w:rsidR="002D5E30" w:rsidRPr="000C349E">
        <w:rPr>
          <w:i/>
          <w:iCs/>
          <w:sz w:val="28"/>
          <w:szCs w:val="28"/>
        </w:rPr>
        <w:t>funcionalidad del 100% motora global</w:t>
      </w:r>
      <w:r w:rsidR="0053723E" w:rsidRPr="000C349E">
        <w:rPr>
          <w:i/>
          <w:iCs/>
          <w:sz w:val="28"/>
          <w:szCs w:val="28"/>
        </w:rPr>
        <w:t>”</w:t>
      </w:r>
      <w:r w:rsidR="002D5E30" w:rsidRPr="000C349E">
        <w:rPr>
          <w:sz w:val="28"/>
          <w:szCs w:val="28"/>
        </w:rPr>
        <w:t xml:space="preserve">, no </w:t>
      </w:r>
      <w:r w:rsidR="0053723E" w:rsidRPr="000C349E">
        <w:rPr>
          <w:sz w:val="28"/>
          <w:szCs w:val="28"/>
        </w:rPr>
        <w:t xml:space="preserve">padece de </w:t>
      </w:r>
      <w:r w:rsidR="0053723E" w:rsidRPr="000C349E">
        <w:rPr>
          <w:i/>
          <w:iCs/>
          <w:sz w:val="28"/>
          <w:szCs w:val="28"/>
        </w:rPr>
        <w:t>“déficit</w:t>
      </w:r>
      <w:r w:rsidR="002D5E30" w:rsidRPr="000C349E">
        <w:rPr>
          <w:i/>
          <w:iCs/>
          <w:sz w:val="28"/>
          <w:szCs w:val="28"/>
        </w:rPr>
        <w:t xml:space="preserve"> sensitivo</w:t>
      </w:r>
      <w:r w:rsidR="0053723E" w:rsidRPr="000C349E">
        <w:rPr>
          <w:i/>
          <w:iCs/>
          <w:sz w:val="28"/>
          <w:szCs w:val="28"/>
        </w:rPr>
        <w:t>”</w:t>
      </w:r>
      <w:r w:rsidR="0053723E" w:rsidRPr="000C349E">
        <w:rPr>
          <w:sz w:val="28"/>
          <w:szCs w:val="28"/>
        </w:rPr>
        <w:t>, lo</w:t>
      </w:r>
      <w:r w:rsidR="002D5E30" w:rsidRPr="000C349E">
        <w:rPr>
          <w:sz w:val="28"/>
          <w:szCs w:val="28"/>
        </w:rPr>
        <w:t xml:space="preserve"> que </w:t>
      </w:r>
      <w:r w:rsidR="0053723E" w:rsidRPr="000C349E">
        <w:rPr>
          <w:i/>
          <w:iCs/>
          <w:sz w:val="28"/>
          <w:szCs w:val="28"/>
        </w:rPr>
        <w:t>“</w:t>
      </w:r>
      <w:r w:rsidR="002D5E30" w:rsidRPr="000C349E">
        <w:rPr>
          <w:i/>
          <w:iCs/>
          <w:sz w:val="28"/>
          <w:szCs w:val="28"/>
        </w:rPr>
        <w:t>le permite deambular sin apoyo ni asistencia por unidad, no requ</w:t>
      </w:r>
      <w:r w:rsidR="0053723E" w:rsidRPr="000C349E">
        <w:rPr>
          <w:i/>
          <w:iCs/>
          <w:sz w:val="28"/>
          <w:szCs w:val="28"/>
        </w:rPr>
        <w:t>iriendo</w:t>
      </w:r>
      <w:r w:rsidR="002D5E30" w:rsidRPr="000C349E">
        <w:rPr>
          <w:i/>
          <w:iCs/>
          <w:sz w:val="28"/>
          <w:szCs w:val="28"/>
        </w:rPr>
        <w:t xml:space="preserve"> de uso de silla de ruedas para traslado</w:t>
      </w:r>
      <w:r w:rsidR="0053723E" w:rsidRPr="000C349E">
        <w:rPr>
          <w:i/>
          <w:iCs/>
          <w:sz w:val="28"/>
          <w:szCs w:val="28"/>
        </w:rPr>
        <w:t>”</w:t>
      </w:r>
      <w:r w:rsidR="002D5E30" w:rsidRPr="000C349E">
        <w:rPr>
          <w:sz w:val="28"/>
          <w:szCs w:val="28"/>
        </w:rPr>
        <w:t xml:space="preserve">, </w:t>
      </w:r>
      <w:r w:rsidR="0053723E" w:rsidRPr="000C349E">
        <w:rPr>
          <w:sz w:val="28"/>
          <w:szCs w:val="28"/>
        </w:rPr>
        <w:t xml:space="preserve">contando así con </w:t>
      </w:r>
      <w:r w:rsidR="0053723E" w:rsidRPr="000C349E">
        <w:rPr>
          <w:i/>
          <w:iCs/>
          <w:sz w:val="28"/>
          <w:szCs w:val="28"/>
        </w:rPr>
        <w:t>“</w:t>
      </w:r>
      <w:r w:rsidR="002D5E30" w:rsidRPr="000C349E">
        <w:rPr>
          <w:i/>
          <w:iCs/>
          <w:sz w:val="28"/>
          <w:szCs w:val="28"/>
        </w:rPr>
        <w:t xml:space="preserve">funcionalidad </w:t>
      </w:r>
      <w:r w:rsidR="00F46788" w:rsidRPr="000C349E">
        <w:rPr>
          <w:i/>
          <w:iCs/>
          <w:sz w:val="28"/>
          <w:szCs w:val="28"/>
        </w:rPr>
        <w:t xml:space="preserve">del </w:t>
      </w:r>
      <w:r w:rsidR="002D5E30" w:rsidRPr="000C349E">
        <w:rPr>
          <w:i/>
          <w:iCs/>
          <w:sz w:val="28"/>
          <w:szCs w:val="28"/>
        </w:rPr>
        <w:t xml:space="preserve">100% </w:t>
      </w:r>
      <w:r w:rsidR="00F46788" w:rsidRPr="000C349E">
        <w:rPr>
          <w:i/>
          <w:iCs/>
          <w:sz w:val="28"/>
          <w:szCs w:val="28"/>
        </w:rPr>
        <w:t xml:space="preserve">para </w:t>
      </w:r>
      <w:r w:rsidR="002D5E30" w:rsidRPr="000C349E">
        <w:rPr>
          <w:i/>
          <w:iCs/>
          <w:sz w:val="28"/>
          <w:szCs w:val="28"/>
        </w:rPr>
        <w:t>la vida diaria</w:t>
      </w:r>
      <w:r w:rsidR="0053723E" w:rsidRPr="000C349E">
        <w:rPr>
          <w:i/>
          <w:iCs/>
          <w:sz w:val="28"/>
          <w:szCs w:val="28"/>
        </w:rPr>
        <w:t>”</w:t>
      </w:r>
      <w:r w:rsidR="002D5E30" w:rsidRPr="000C349E">
        <w:rPr>
          <w:sz w:val="28"/>
          <w:szCs w:val="28"/>
        </w:rPr>
        <w:t>,</w:t>
      </w:r>
      <w:r w:rsidR="0053723E" w:rsidRPr="000C349E">
        <w:rPr>
          <w:sz w:val="28"/>
          <w:szCs w:val="28"/>
        </w:rPr>
        <w:t xml:space="preserve"> ya que no tiene</w:t>
      </w:r>
      <w:r w:rsidR="002D5E30" w:rsidRPr="000C349E">
        <w:rPr>
          <w:sz w:val="28"/>
          <w:szCs w:val="28"/>
        </w:rPr>
        <w:t xml:space="preserve"> </w:t>
      </w:r>
      <w:r w:rsidR="0053723E" w:rsidRPr="000C349E">
        <w:rPr>
          <w:i/>
          <w:iCs/>
          <w:sz w:val="28"/>
          <w:szCs w:val="28"/>
        </w:rPr>
        <w:t>“</w:t>
      </w:r>
      <w:r w:rsidR="002D5E30" w:rsidRPr="000C349E">
        <w:rPr>
          <w:i/>
          <w:iCs/>
          <w:sz w:val="28"/>
          <w:szCs w:val="28"/>
        </w:rPr>
        <w:t>dependencia para ninguna actividad</w:t>
      </w:r>
      <w:r w:rsidR="0053723E" w:rsidRPr="000C349E">
        <w:rPr>
          <w:i/>
          <w:iCs/>
          <w:sz w:val="28"/>
          <w:szCs w:val="28"/>
        </w:rPr>
        <w:t>”</w:t>
      </w:r>
      <w:r w:rsidRPr="000C349E">
        <w:rPr>
          <w:sz w:val="28"/>
          <w:szCs w:val="28"/>
        </w:rPr>
        <w:t>.</w:t>
      </w:r>
    </w:p>
    <w:p w:rsidR="00D405C6" w:rsidRPr="000C349E" w:rsidRDefault="00D405C6" w:rsidP="000C349E">
      <w:pPr>
        <w:ind w:left="227" w:right="227"/>
        <w:jc w:val="both"/>
        <w:rPr>
          <w:sz w:val="28"/>
          <w:szCs w:val="28"/>
        </w:rPr>
      </w:pPr>
    </w:p>
    <w:p w:rsidR="002D5E30" w:rsidRPr="000C349E" w:rsidRDefault="00D405C6" w:rsidP="000C349E">
      <w:pPr>
        <w:ind w:left="227" w:right="227"/>
        <w:jc w:val="both"/>
        <w:rPr>
          <w:bCs/>
          <w:sz w:val="28"/>
          <w:szCs w:val="28"/>
        </w:rPr>
      </w:pPr>
      <w:r w:rsidRPr="000C349E">
        <w:rPr>
          <w:sz w:val="28"/>
          <w:szCs w:val="28"/>
        </w:rPr>
        <w:t>(ii) Se encuentra pendiente la valoración del paciente por fisiatría</w:t>
      </w:r>
      <w:r w:rsidR="005A3883" w:rsidRPr="000C349E">
        <w:rPr>
          <w:sz w:val="28"/>
          <w:szCs w:val="28"/>
        </w:rPr>
        <w:t xml:space="preserve"> para determinar el grado de discapacidad</w:t>
      </w:r>
      <w:r w:rsidRPr="000C349E">
        <w:rPr>
          <w:sz w:val="28"/>
          <w:szCs w:val="28"/>
        </w:rPr>
        <w:t>, así como se</w:t>
      </w:r>
      <w:r w:rsidR="0053723E" w:rsidRPr="000C349E">
        <w:rPr>
          <w:sz w:val="28"/>
          <w:szCs w:val="28"/>
        </w:rPr>
        <w:t xml:space="preserve"> </w:t>
      </w:r>
      <w:r w:rsidRPr="000C349E">
        <w:rPr>
          <w:sz w:val="28"/>
          <w:szCs w:val="28"/>
        </w:rPr>
        <w:t xml:space="preserve">está a </w:t>
      </w:r>
      <w:r w:rsidR="0053723E" w:rsidRPr="000C349E">
        <w:rPr>
          <w:i/>
          <w:iCs/>
          <w:sz w:val="28"/>
          <w:szCs w:val="28"/>
        </w:rPr>
        <w:t>“la espera de la consecución</w:t>
      </w:r>
      <w:r w:rsidR="002D5E30" w:rsidRPr="000C349E">
        <w:rPr>
          <w:i/>
          <w:iCs/>
          <w:sz w:val="28"/>
          <w:szCs w:val="28"/>
        </w:rPr>
        <w:t xml:space="preserve"> de hogar de paso para egreso, </w:t>
      </w:r>
      <w:r w:rsidR="005A3883" w:rsidRPr="000C349E">
        <w:rPr>
          <w:i/>
          <w:iCs/>
          <w:sz w:val="28"/>
          <w:szCs w:val="28"/>
        </w:rPr>
        <w:t xml:space="preserve">pues el </w:t>
      </w:r>
      <w:r w:rsidR="002D5E30" w:rsidRPr="000C349E">
        <w:rPr>
          <w:i/>
          <w:iCs/>
          <w:sz w:val="28"/>
          <w:szCs w:val="28"/>
        </w:rPr>
        <w:t xml:space="preserve">paciente </w:t>
      </w:r>
      <w:r w:rsidR="005A3883" w:rsidRPr="000C349E">
        <w:rPr>
          <w:i/>
          <w:iCs/>
          <w:sz w:val="28"/>
          <w:szCs w:val="28"/>
        </w:rPr>
        <w:t xml:space="preserve">se encuentra </w:t>
      </w:r>
      <w:r w:rsidR="002D5E30" w:rsidRPr="000C349E">
        <w:rPr>
          <w:i/>
          <w:iCs/>
          <w:sz w:val="28"/>
          <w:szCs w:val="28"/>
        </w:rPr>
        <w:t xml:space="preserve">en </w:t>
      </w:r>
      <w:r w:rsidR="0053723E" w:rsidRPr="000C349E">
        <w:rPr>
          <w:i/>
          <w:iCs/>
          <w:sz w:val="28"/>
          <w:szCs w:val="28"/>
        </w:rPr>
        <w:t>condición</w:t>
      </w:r>
      <w:r w:rsidR="002D5E30" w:rsidRPr="000C349E">
        <w:rPr>
          <w:i/>
          <w:iCs/>
          <w:sz w:val="28"/>
          <w:szCs w:val="28"/>
        </w:rPr>
        <w:t xml:space="preserve"> de abandono social</w:t>
      </w:r>
      <w:r w:rsidR="0053723E" w:rsidRPr="000C349E">
        <w:rPr>
          <w:i/>
          <w:iCs/>
          <w:sz w:val="28"/>
          <w:szCs w:val="28"/>
        </w:rPr>
        <w:t>”</w:t>
      </w:r>
      <w:r w:rsidR="002D5E30" w:rsidRPr="000C349E">
        <w:rPr>
          <w:sz w:val="28"/>
          <w:szCs w:val="28"/>
        </w:rPr>
        <w:t>.</w:t>
      </w:r>
    </w:p>
    <w:p w:rsidR="00576C3E" w:rsidRPr="000C349E" w:rsidRDefault="00576C3E" w:rsidP="000C349E">
      <w:pPr>
        <w:jc w:val="both"/>
        <w:rPr>
          <w:bCs/>
          <w:sz w:val="28"/>
          <w:szCs w:val="28"/>
        </w:rPr>
      </w:pPr>
    </w:p>
    <w:p w:rsidR="00D405C6" w:rsidRPr="000C349E" w:rsidRDefault="00D405C6" w:rsidP="000C349E">
      <w:pPr>
        <w:jc w:val="both"/>
        <w:rPr>
          <w:sz w:val="28"/>
          <w:szCs w:val="28"/>
          <w:lang w:val="es-CO"/>
        </w:rPr>
      </w:pPr>
      <w:r w:rsidRPr="000C349E">
        <w:rPr>
          <w:bCs/>
          <w:sz w:val="28"/>
          <w:szCs w:val="28"/>
        </w:rPr>
        <w:t xml:space="preserve">3.4. El mismo 15 de marzo, </w:t>
      </w:r>
      <w:r w:rsidRPr="000C349E">
        <w:rPr>
          <w:sz w:val="28"/>
          <w:szCs w:val="28"/>
        </w:rPr>
        <w:t xml:space="preserve">la </w:t>
      </w:r>
      <w:r w:rsidRPr="000C349E">
        <w:rPr>
          <w:b/>
          <w:bCs/>
          <w:i/>
          <w:iCs/>
          <w:sz w:val="28"/>
          <w:szCs w:val="28"/>
        </w:rPr>
        <w:t>Comisaría Trece de Familia de Bogotá</w:t>
      </w:r>
      <w:r w:rsidRPr="000C349E">
        <w:rPr>
          <w:sz w:val="28"/>
          <w:szCs w:val="28"/>
        </w:rPr>
        <w:t xml:space="preserve"> informó que recibió el caso de </w:t>
      </w:r>
      <w:r w:rsidR="00F46788" w:rsidRPr="000C349E">
        <w:rPr>
          <w:sz w:val="28"/>
          <w:szCs w:val="28"/>
        </w:rPr>
        <w:t>Ángel Abad</w:t>
      </w:r>
      <w:r w:rsidRPr="000C349E">
        <w:rPr>
          <w:sz w:val="28"/>
          <w:szCs w:val="28"/>
        </w:rPr>
        <w:t xml:space="preserve"> Hoyos Fernández el 3 de noviembre de 2017, pero al advertir que en razón del factor territorial el asunto era de competencia de la Comisaría Sexta de Familia de la ciudad, el 10 de noviembre siguiente dispuso que las diligencias le fueran enviadas a dicha autoridad</w:t>
      </w:r>
      <w:r w:rsidRPr="000C349E">
        <w:rPr>
          <w:rStyle w:val="Refdenotaalpie"/>
          <w:sz w:val="28"/>
          <w:szCs w:val="28"/>
        </w:rPr>
        <w:footnoteReference w:id="35"/>
      </w:r>
      <w:r w:rsidRPr="000C349E">
        <w:rPr>
          <w:sz w:val="28"/>
          <w:szCs w:val="28"/>
        </w:rPr>
        <w:t>.</w:t>
      </w:r>
      <w:r w:rsidR="0093595F" w:rsidRPr="000C349E">
        <w:rPr>
          <w:sz w:val="28"/>
          <w:szCs w:val="28"/>
        </w:rPr>
        <w:t xml:space="preserve"> </w:t>
      </w:r>
    </w:p>
    <w:p w:rsidR="00BF4F01" w:rsidRPr="000C349E" w:rsidRDefault="00BF4F01" w:rsidP="000C349E">
      <w:pPr>
        <w:jc w:val="both"/>
        <w:rPr>
          <w:sz w:val="28"/>
          <w:szCs w:val="28"/>
          <w:lang w:val="es-CO"/>
        </w:rPr>
      </w:pPr>
    </w:p>
    <w:p w:rsidR="009C65C2" w:rsidRPr="000C349E" w:rsidRDefault="00D405C6" w:rsidP="000C349E">
      <w:pPr>
        <w:jc w:val="both"/>
        <w:rPr>
          <w:bCs/>
          <w:sz w:val="28"/>
          <w:szCs w:val="28"/>
        </w:rPr>
      </w:pPr>
      <w:r w:rsidRPr="000C349E">
        <w:rPr>
          <w:sz w:val="28"/>
          <w:szCs w:val="28"/>
          <w:lang w:val="es-CO"/>
        </w:rPr>
        <w:t xml:space="preserve">3.5. </w:t>
      </w:r>
      <w:r w:rsidR="000D0509" w:rsidRPr="000C349E">
        <w:rPr>
          <w:sz w:val="28"/>
          <w:szCs w:val="28"/>
          <w:lang w:val="es-CO"/>
        </w:rPr>
        <w:t xml:space="preserve">El 18 de marzo de 2019, </w:t>
      </w:r>
      <w:r w:rsidR="00CD641F" w:rsidRPr="000C349E">
        <w:rPr>
          <w:bCs/>
          <w:sz w:val="28"/>
          <w:szCs w:val="28"/>
        </w:rPr>
        <w:t>l</w:t>
      </w:r>
      <w:r w:rsidR="00F5123A" w:rsidRPr="000C349E">
        <w:rPr>
          <w:bCs/>
          <w:sz w:val="28"/>
          <w:szCs w:val="28"/>
        </w:rPr>
        <w:t xml:space="preserve">a </w:t>
      </w:r>
      <w:r w:rsidR="00F5123A" w:rsidRPr="000C349E">
        <w:rPr>
          <w:b/>
          <w:i/>
          <w:iCs/>
          <w:sz w:val="28"/>
          <w:szCs w:val="28"/>
        </w:rPr>
        <w:t>Secretaría Distrital de Integración Social</w:t>
      </w:r>
      <w:r w:rsidR="00F5123A" w:rsidRPr="000C349E">
        <w:rPr>
          <w:bCs/>
          <w:sz w:val="28"/>
          <w:szCs w:val="28"/>
        </w:rPr>
        <w:t xml:space="preserve"> </w:t>
      </w:r>
      <w:r w:rsidR="000D0509" w:rsidRPr="000C349E">
        <w:rPr>
          <w:bCs/>
          <w:sz w:val="28"/>
          <w:szCs w:val="28"/>
        </w:rPr>
        <w:t xml:space="preserve">remitió un escrito en el que informó que </w:t>
      </w:r>
      <w:r w:rsidR="009C65C2" w:rsidRPr="000C349E">
        <w:rPr>
          <w:bCs/>
          <w:sz w:val="28"/>
          <w:szCs w:val="28"/>
        </w:rPr>
        <w:t>en</w:t>
      </w:r>
      <w:r w:rsidR="000D0509" w:rsidRPr="000C349E">
        <w:rPr>
          <w:bCs/>
          <w:sz w:val="28"/>
          <w:szCs w:val="28"/>
        </w:rPr>
        <w:t xml:space="preserve"> Bogotá para la </w:t>
      </w:r>
      <w:r w:rsidR="001D48E8" w:rsidRPr="000C349E">
        <w:rPr>
          <w:bCs/>
          <w:sz w:val="28"/>
          <w:szCs w:val="28"/>
        </w:rPr>
        <w:t>garantizar los derechos de las</w:t>
      </w:r>
      <w:r w:rsidR="000D0509" w:rsidRPr="000C349E">
        <w:rPr>
          <w:bCs/>
          <w:sz w:val="28"/>
          <w:szCs w:val="28"/>
        </w:rPr>
        <w:t xml:space="preserve"> personas en situación de discapacidad</w:t>
      </w:r>
      <w:r w:rsidR="009C65C2" w:rsidRPr="000C349E">
        <w:rPr>
          <w:bCs/>
          <w:sz w:val="28"/>
          <w:szCs w:val="28"/>
        </w:rPr>
        <w:t xml:space="preserve"> se </w:t>
      </w:r>
      <w:r w:rsidR="000D0509" w:rsidRPr="000C349E">
        <w:rPr>
          <w:bCs/>
          <w:sz w:val="28"/>
          <w:szCs w:val="28"/>
        </w:rPr>
        <w:t xml:space="preserve">ejecuta la política pública denominada </w:t>
      </w:r>
      <w:r w:rsidR="009C65C2" w:rsidRPr="000C349E">
        <w:rPr>
          <w:bCs/>
          <w:i/>
          <w:iCs/>
          <w:sz w:val="28"/>
          <w:szCs w:val="28"/>
        </w:rPr>
        <w:t>“por una ciudad incluyente y sin barreras”</w:t>
      </w:r>
      <w:r w:rsidR="009C65C2" w:rsidRPr="000C349E">
        <w:rPr>
          <w:bCs/>
          <w:sz w:val="28"/>
          <w:szCs w:val="28"/>
        </w:rPr>
        <w:t>, l</w:t>
      </w:r>
      <w:r w:rsidR="001D48E8" w:rsidRPr="000C349E">
        <w:rPr>
          <w:bCs/>
          <w:sz w:val="28"/>
          <w:szCs w:val="28"/>
        </w:rPr>
        <w:t>a</w:t>
      </w:r>
      <w:r w:rsidR="009C65C2" w:rsidRPr="000C349E">
        <w:rPr>
          <w:bCs/>
          <w:sz w:val="28"/>
          <w:szCs w:val="28"/>
        </w:rPr>
        <w:t xml:space="preserve"> cual</w:t>
      </w:r>
      <w:r w:rsidR="001D48E8" w:rsidRPr="000C349E">
        <w:rPr>
          <w:bCs/>
          <w:sz w:val="28"/>
          <w:szCs w:val="28"/>
        </w:rPr>
        <w:t xml:space="preserve"> se compone</w:t>
      </w:r>
      <w:r w:rsidR="009C65C2" w:rsidRPr="000C349E">
        <w:rPr>
          <w:bCs/>
          <w:sz w:val="28"/>
          <w:szCs w:val="28"/>
        </w:rPr>
        <w:t xml:space="preserve">, entre otros servicios </w:t>
      </w:r>
      <w:r w:rsidR="001D48E8" w:rsidRPr="000C349E">
        <w:rPr>
          <w:bCs/>
          <w:sz w:val="28"/>
          <w:szCs w:val="28"/>
        </w:rPr>
        <w:t xml:space="preserve">sociales, de los </w:t>
      </w:r>
      <w:r w:rsidR="001D48E8" w:rsidRPr="000C349E">
        <w:rPr>
          <w:bCs/>
          <w:i/>
          <w:iCs/>
          <w:sz w:val="28"/>
          <w:szCs w:val="28"/>
        </w:rPr>
        <w:t>“Centros Integrarte”</w:t>
      </w:r>
      <w:r w:rsidR="00563C67" w:rsidRPr="000C349E">
        <w:rPr>
          <w:rStyle w:val="Refdenotaalpie"/>
          <w:bCs/>
          <w:sz w:val="28"/>
          <w:szCs w:val="28"/>
        </w:rPr>
        <w:footnoteReference w:id="36"/>
      </w:r>
      <w:r w:rsidR="00C228AA" w:rsidRPr="000C349E">
        <w:rPr>
          <w:bCs/>
          <w:sz w:val="28"/>
          <w:szCs w:val="28"/>
        </w:rPr>
        <w:t xml:space="preserve">, </w:t>
      </w:r>
      <w:r w:rsidR="001D48E8" w:rsidRPr="000C349E">
        <w:rPr>
          <w:bCs/>
          <w:sz w:val="28"/>
          <w:szCs w:val="28"/>
        </w:rPr>
        <w:t xml:space="preserve">que </w:t>
      </w:r>
      <w:r w:rsidR="00C228AA" w:rsidRPr="000C349E">
        <w:rPr>
          <w:bCs/>
          <w:sz w:val="28"/>
          <w:szCs w:val="28"/>
        </w:rPr>
        <w:t xml:space="preserve">les </w:t>
      </w:r>
      <w:r w:rsidR="001D48E8" w:rsidRPr="000C349E">
        <w:rPr>
          <w:bCs/>
          <w:sz w:val="28"/>
          <w:szCs w:val="28"/>
        </w:rPr>
        <w:t>ofrecen atención de tipo externa e interna</w:t>
      </w:r>
      <w:r w:rsidR="005A3883" w:rsidRPr="000C349E">
        <w:rPr>
          <w:bCs/>
          <w:sz w:val="28"/>
          <w:szCs w:val="28"/>
        </w:rPr>
        <w:t xml:space="preserve"> a sus beneficiarios</w:t>
      </w:r>
      <w:r w:rsidR="001D48E8" w:rsidRPr="000C349E">
        <w:rPr>
          <w:bCs/>
          <w:sz w:val="28"/>
          <w:szCs w:val="28"/>
        </w:rPr>
        <w:t xml:space="preserve">, </w:t>
      </w:r>
      <w:r w:rsidR="00C228AA" w:rsidRPr="000C349E">
        <w:rPr>
          <w:bCs/>
          <w:sz w:val="28"/>
          <w:szCs w:val="28"/>
        </w:rPr>
        <w:t>según los siguientes parámetros:</w:t>
      </w:r>
    </w:p>
    <w:p w:rsidR="001D48E8" w:rsidRPr="000C349E" w:rsidRDefault="001D48E8" w:rsidP="000C349E">
      <w:pPr>
        <w:jc w:val="both"/>
        <w:rPr>
          <w:bCs/>
          <w:sz w:val="28"/>
          <w:szCs w:val="28"/>
        </w:rPr>
      </w:pPr>
    </w:p>
    <w:p w:rsidR="00C228AA" w:rsidRPr="000C349E" w:rsidRDefault="001D48E8" w:rsidP="000C349E">
      <w:pPr>
        <w:ind w:left="227" w:right="227"/>
        <w:jc w:val="both"/>
        <w:rPr>
          <w:bCs/>
          <w:sz w:val="28"/>
          <w:szCs w:val="28"/>
        </w:rPr>
      </w:pPr>
      <w:r w:rsidRPr="000C349E">
        <w:rPr>
          <w:bCs/>
          <w:sz w:val="28"/>
          <w:szCs w:val="28"/>
        </w:rPr>
        <w:t xml:space="preserve">(i) Los </w:t>
      </w:r>
      <w:r w:rsidRPr="000C349E">
        <w:rPr>
          <w:bCs/>
          <w:i/>
          <w:iCs/>
          <w:sz w:val="28"/>
          <w:szCs w:val="28"/>
        </w:rPr>
        <w:t>Centros Integrarte de Atención Externa</w:t>
      </w:r>
      <w:r w:rsidRPr="000C349E">
        <w:rPr>
          <w:bCs/>
          <w:sz w:val="28"/>
          <w:szCs w:val="28"/>
        </w:rPr>
        <w:t xml:space="preserve"> están dispuestos para la atención de personas en situación de discapacidad que tengan entre 18 y 60 años, residan en Bogotá y requieran de cualquier tipo de apoyos</w:t>
      </w:r>
      <w:r w:rsidR="00294E23" w:rsidRPr="000C349E">
        <w:rPr>
          <w:bCs/>
          <w:sz w:val="28"/>
          <w:szCs w:val="28"/>
        </w:rPr>
        <w:t xml:space="preserve"> (intermitentes, limitados, extensos o generalizados)</w:t>
      </w:r>
      <w:r w:rsidR="00C228AA" w:rsidRPr="000C349E">
        <w:rPr>
          <w:bCs/>
          <w:sz w:val="28"/>
          <w:szCs w:val="28"/>
        </w:rPr>
        <w:t>. S</w:t>
      </w:r>
      <w:r w:rsidRPr="000C349E">
        <w:rPr>
          <w:bCs/>
          <w:sz w:val="28"/>
          <w:szCs w:val="28"/>
        </w:rPr>
        <w:t>e caracterizan por ofrecer</w:t>
      </w:r>
      <w:r w:rsidR="00C228AA" w:rsidRPr="000C349E">
        <w:rPr>
          <w:bCs/>
          <w:sz w:val="28"/>
          <w:szCs w:val="28"/>
        </w:rPr>
        <w:t xml:space="preserve"> a dicha población: (a) </w:t>
      </w:r>
      <w:r w:rsidR="00294E23" w:rsidRPr="000C349E">
        <w:rPr>
          <w:bCs/>
          <w:sz w:val="28"/>
          <w:szCs w:val="28"/>
        </w:rPr>
        <w:t xml:space="preserve">programas </w:t>
      </w:r>
      <w:r w:rsidR="005A3883" w:rsidRPr="000C349E">
        <w:rPr>
          <w:bCs/>
          <w:sz w:val="28"/>
          <w:szCs w:val="28"/>
        </w:rPr>
        <w:t>de alimentación</w:t>
      </w:r>
      <w:r w:rsidR="00C228AA" w:rsidRPr="000C349E">
        <w:rPr>
          <w:bCs/>
          <w:sz w:val="28"/>
          <w:szCs w:val="28"/>
        </w:rPr>
        <w:t>, (b) servicio de transporte, (c) planes de desarrollo y fortale</w:t>
      </w:r>
      <w:r w:rsidR="005A3883" w:rsidRPr="000C349E">
        <w:rPr>
          <w:bCs/>
          <w:sz w:val="28"/>
          <w:szCs w:val="28"/>
        </w:rPr>
        <w:t>cimiento de competencias que le</w:t>
      </w:r>
      <w:r w:rsidR="00234A7B" w:rsidRPr="000C349E">
        <w:rPr>
          <w:bCs/>
          <w:sz w:val="28"/>
          <w:szCs w:val="28"/>
        </w:rPr>
        <w:t>s</w:t>
      </w:r>
      <w:r w:rsidR="00C228AA" w:rsidRPr="000C349E">
        <w:rPr>
          <w:bCs/>
          <w:sz w:val="28"/>
          <w:szCs w:val="28"/>
        </w:rPr>
        <w:t xml:space="preserve"> permitan </w:t>
      </w:r>
      <w:r w:rsidR="005A3883" w:rsidRPr="000C349E">
        <w:rPr>
          <w:bCs/>
          <w:sz w:val="28"/>
          <w:szCs w:val="28"/>
        </w:rPr>
        <w:t xml:space="preserve">a los beneficiarios </w:t>
      </w:r>
      <w:r w:rsidR="00C228AA" w:rsidRPr="000C349E">
        <w:rPr>
          <w:bCs/>
          <w:sz w:val="28"/>
          <w:szCs w:val="28"/>
        </w:rPr>
        <w:t>alcanzar mayores niveles de independencia y socialización, y (d) acompañamiento en los procesos</w:t>
      </w:r>
      <w:r w:rsidR="005A3883" w:rsidRPr="000C349E">
        <w:rPr>
          <w:bCs/>
          <w:sz w:val="28"/>
          <w:szCs w:val="28"/>
        </w:rPr>
        <w:t xml:space="preserve"> institucionales</w:t>
      </w:r>
      <w:r w:rsidR="00C228AA" w:rsidRPr="000C349E">
        <w:rPr>
          <w:bCs/>
          <w:sz w:val="28"/>
          <w:szCs w:val="28"/>
        </w:rPr>
        <w:t xml:space="preserve"> </w:t>
      </w:r>
      <w:r w:rsidR="005A3883" w:rsidRPr="000C349E">
        <w:rPr>
          <w:bCs/>
          <w:sz w:val="28"/>
          <w:szCs w:val="28"/>
        </w:rPr>
        <w:t>destinados para facilitar</w:t>
      </w:r>
      <w:r w:rsidR="00C228AA" w:rsidRPr="000C349E">
        <w:rPr>
          <w:bCs/>
          <w:sz w:val="28"/>
          <w:szCs w:val="28"/>
        </w:rPr>
        <w:t xml:space="preserve"> su inclusión.</w:t>
      </w:r>
      <w:r w:rsidR="0093595F" w:rsidRPr="000C349E">
        <w:rPr>
          <w:bCs/>
          <w:sz w:val="28"/>
          <w:szCs w:val="28"/>
        </w:rPr>
        <w:t xml:space="preserve"> </w:t>
      </w:r>
    </w:p>
    <w:p w:rsidR="00C228AA" w:rsidRPr="000C349E" w:rsidRDefault="00C228AA" w:rsidP="000C349E">
      <w:pPr>
        <w:ind w:left="227" w:right="227"/>
        <w:jc w:val="both"/>
        <w:rPr>
          <w:bCs/>
          <w:sz w:val="28"/>
          <w:szCs w:val="28"/>
        </w:rPr>
      </w:pPr>
    </w:p>
    <w:p w:rsidR="00CD641F" w:rsidRPr="000C349E" w:rsidRDefault="009C65C2" w:rsidP="000C349E">
      <w:pPr>
        <w:ind w:left="227" w:right="227"/>
        <w:jc w:val="both"/>
        <w:rPr>
          <w:bCs/>
          <w:sz w:val="28"/>
          <w:szCs w:val="28"/>
        </w:rPr>
      </w:pPr>
      <w:r w:rsidRPr="000C349E">
        <w:rPr>
          <w:bCs/>
          <w:sz w:val="28"/>
          <w:szCs w:val="28"/>
        </w:rPr>
        <w:t>(i</w:t>
      </w:r>
      <w:r w:rsidR="00C228AA" w:rsidRPr="000C349E">
        <w:rPr>
          <w:bCs/>
          <w:sz w:val="28"/>
          <w:szCs w:val="28"/>
        </w:rPr>
        <w:t>i</w:t>
      </w:r>
      <w:r w:rsidRPr="000C349E">
        <w:rPr>
          <w:bCs/>
          <w:sz w:val="28"/>
          <w:szCs w:val="28"/>
        </w:rPr>
        <w:t>)</w:t>
      </w:r>
      <w:r w:rsidR="005779AA" w:rsidRPr="000C349E">
        <w:rPr>
          <w:bCs/>
          <w:sz w:val="28"/>
          <w:szCs w:val="28"/>
        </w:rPr>
        <w:t xml:space="preserve"> Los </w:t>
      </w:r>
      <w:r w:rsidR="005779AA" w:rsidRPr="000C349E">
        <w:rPr>
          <w:bCs/>
          <w:i/>
          <w:iCs/>
          <w:sz w:val="28"/>
          <w:szCs w:val="28"/>
        </w:rPr>
        <w:t>Centros Integrarte de Atención Interna</w:t>
      </w:r>
      <w:r w:rsidR="007D00BA" w:rsidRPr="000C349E">
        <w:rPr>
          <w:bCs/>
          <w:i/>
          <w:iCs/>
          <w:sz w:val="28"/>
          <w:szCs w:val="28"/>
        </w:rPr>
        <w:t xml:space="preserve"> </w:t>
      </w:r>
      <w:r w:rsidR="007D00BA" w:rsidRPr="000C349E">
        <w:rPr>
          <w:bCs/>
          <w:sz w:val="28"/>
          <w:szCs w:val="28"/>
        </w:rPr>
        <w:t>están dispuestos para la atención de personas situación de discapacidad que tengan entre 18 y 60 años, residan en Bogotá, requieran de apoyos extensos o generalizados y no cuenten con una red familiar que pueda garantizarles los mismos. Se caracterizan por ofrecer a dicha población los mismos servicios que los centros externos, pero además le</w:t>
      </w:r>
      <w:r w:rsidR="005A3883" w:rsidRPr="000C349E">
        <w:rPr>
          <w:bCs/>
          <w:sz w:val="28"/>
          <w:szCs w:val="28"/>
        </w:rPr>
        <w:t>s</w:t>
      </w:r>
      <w:r w:rsidR="007D00BA" w:rsidRPr="000C349E">
        <w:rPr>
          <w:bCs/>
          <w:sz w:val="28"/>
          <w:szCs w:val="28"/>
        </w:rPr>
        <w:t xml:space="preserve"> facilita </w:t>
      </w:r>
      <w:r w:rsidR="005A3883" w:rsidRPr="000C349E">
        <w:rPr>
          <w:bCs/>
          <w:sz w:val="28"/>
          <w:szCs w:val="28"/>
        </w:rPr>
        <w:t xml:space="preserve">a sus beneficiarios un lugar </w:t>
      </w:r>
      <w:r w:rsidR="007D00BA" w:rsidRPr="000C349E">
        <w:rPr>
          <w:bCs/>
          <w:sz w:val="28"/>
          <w:szCs w:val="28"/>
        </w:rPr>
        <w:t xml:space="preserve">de alojamiento. </w:t>
      </w:r>
    </w:p>
    <w:p w:rsidR="007D00BA" w:rsidRPr="000C349E" w:rsidRDefault="007D00BA" w:rsidP="000C349E">
      <w:pPr>
        <w:jc w:val="both"/>
        <w:rPr>
          <w:bCs/>
          <w:sz w:val="28"/>
          <w:szCs w:val="28"/>
        </w:rPr>
      </w:pPr>
    </w:p>
    <w:p w:rsidR="007D00BA" w:rsidRPr="000C349E" w:rsidRDefault="007D00BA" w:rsidP="000C349E">
      <w:pPr>
        <w:jc w:val="both"/>
        <w:rPr>
          <w:bCs/>
          <w:sz w:val="28"/>
          <w:szCs w:val="28"/>
        </w:rPr>
      </w:pPr>
      <w:r w:rsidRPr="000C349E">
        <w:rPr>
          <w:bCs/>
          <w:sz w:val="28"/>
          <w:szCs w:val="28"/>
        </w:rPr>
        <w:t xml:space="preserve">3.6. Sobre el acceso a los servicios prestados por </w:t>
      </w:r>
      <w:r w:rsidR="00234A7B" w:rsidRPr="000C349E">
        <w:rPr>
          <w:bCs/>
          <w:sz w:val="28"/>
          <w:szCs w:val="28"/>
        </w:rPr>
        <w:t xml:space="preserve">dichos </w:t>
      </w:r>
      <w:r w:rsidRPr="000C349E">
        <w:rPr>
          <w:bCs/>
          <w:sz w:val="28"/>
          <w:szCs w:val="28"/>
        </w:rPr>
        <w:t>centros, la Secretaría de Integración Social resaltó que los mismos están sujetos a la solicitud del servicio y a</w:t>
      </w:r>
      <w:r w:rsidR="009733FE" w:rsidRPr="000C349E">
        <w:rPr>
          <w:bCs/>
          <w:sz w:val="28"/>
          <w:szCs w:val="28"/>
        </w:rPr>
        <w:t xml:space="preserve"> la superación </w:t>
      </w:r>
      <w:r w:rsidRPr="000C349E">
        <w:rPr>
          <w:bCs/>
          <w:sz w:val="28"/>
          <w:szCs w:val="28"/>
        </w:rPr>
        <w:t>de las etapas del proceso de selección de beneficiarios, que incluye</w:t>
      </w:r>
      <w:r w:rsidR="009733FE" w:rsidRPr="000C349E">
        <w:rPr>
          <w:bCs/>
          <w:sz w:val="28"/>
          <w:szCs w:val="28"/>
        </w:rPr>
        <w:t>n</w:t>
      </w:r>
      <w:r w:rsidRPr="000C349E">
        <w:rPr>
          <w:bCs/>
          <w:sz w:val="28"/>
          <w:szCs w:val="28"/>
        </w:rPr>
        <w:t xml:space="preserve"> la verificación del cumplimiento por parte de los peticionarios de los requisitos</w:t>
      </w:r>
      <w:r w:rsidR="009733FE" w:rsidRPr="000C349E">
        <w:rPr>
          <w:bCs/>
          <w:sz w:val="28"/>
          <w:szCs w:val="28"/>
        </w:rPr>
        <w:t xml:space="preserve"> de priorización</w:t>
      </w:r>
      <w:r w:rsidRPr="000C349E">
        <w:rPr>
          <w:bCs/>
          <w:sz w:val="28"/>
          <w:szCs w:val="28"/>
        </w:rPr>
        <w:t xml:space="preserve"> del centro al que pretenden ingresar. </w:t>
      </w:r>
    </w:p>
    <w:p w:rsidR="007D00BA" w:rsidRPr="000C349E" w:rsidRDefault="007D00BA" w:rsidP="000C349E">
      <w:pPr>
        <w:jc w:val="both"/>
        <w:rPr>
          <w:bCs/>
          <w:sz w:val="28"/>
          <w:szCs w:val="28"/>
        </w:rPr>
      </w:pPr>
    </w:p>
    <w:p w:rsidR="007D00BA" w:rsidRPr="000C349E" w:rsidRDefault="007D00BA" w:rsidP="000C349E">
      <w:pPr>
        <w:jc w:val="both"/>
        <w:rPr>
          <w:bCs/>
          <w:sz w:val="28"/>
          <w:szCs w:val="28"/>
        </w:rPr>
      </w:pPr>
      <w:r w:rsidRPr="000C349E">
        <w:rPr>
          <w:bCs/>
          <w:sz w:val="28"/>
          <w:szCs w:val="28"/>
        </w:rPr>
        <w:t xml:space="preserve">3.7. </w:t>
      </w:r>
      <w:r w:rsidR="003A21EC" w:rsidRPr="000C349E">
        <w:rPr>
          <w:bCs/>
          <w:sz w:val="28"/>
          <w:szCs w:val="28"/>
        </w:rPr>
        <w:t>Adicionalmente</w:t>
      </w:r>
      <w:r w:rsidRPr="000C349E">
        <w:rPr>
          <w:bCs/>
          <w:sz w:val="28"/>
          <w:szCs w:val="28"/>
        </w:rPr>
        <w:t xml:space="preserve">, la Secretaría de Integración Social </w:t>
      </w:r>
      <w:r w:rsidR="009733FE" w:rsidRPr="000C349E">
        <w:rPr>
          <w:bCs/>
          <w:sz w:val="28"/>
          <w:szCs w:val="28"/>
        </w:rPr>
        <w:t xml:space="preserve">puso de presente </w:t>
      </w:r>
      <w:r w:rsidRPr="000C349E">
        <w:rPr>
          <w:bCs/>
          <w:sz w:val="28"/>
          <w:szCs w:val="28"/>
        </w:rPr>
        <w:t xml:space="preserve">que </w:t>
      </w:r>
      <w:r w:rsidR="00294E23" w:rsidRPr="000C349E">
        <w:rPr>
          <w:bCs/>
          <w:sz w:val="28"/>
          <w:szCs w:val="28"/>
        </w:rPr>
        <w:t>el 18 de marzo de 2018 un</w:t>
      </w:r>
      <w:r w:rsidR="0045576E" w:rsidRPr="000C349E">
        <w:rPr>
          <w:bCs/>
          <w:sz w:val="28"/>
          <w:szCs w:val="28"/>
        </w:rPr>
        <w:t>a enfermera y una trabajadora social</w:t>
      </w:r>
      <w:r w:rsidR="00294E23" w:rsidRPr="000C349E">
        <w:rPr>
          <w:bCs/>
          <w:sz w:val="28"/>
          <w:szCs w:val="28"/>
        </w:rPr>
        <w:t xml:space="preserve"> de los </w:t>
      </w:r>
      <w:r w:rsidR="00294E23" w:rsidRPr="000C349E">
        <w:rPr>
          <w:bCs/>
          <w:i/>
          <w:iCs/>
          <w:sz w:val="28"/>
          <w:szCs w:val="28"/>
        </w:rPr>
        <w:t>“Centros Integrarte”</w:t>
      </w:r>
      <w:r w:rsidR="009733FE" w:rsidRPr="000C349E">
        <w:rPr>
          <w:bCs/>
          <w:sz w:val="28"/>
          <w:szCs w:val="28"/>
        </w:rPr>
        <w:t xml:space="preserve"> </w:t>
      </w:r>
      <w:r w:rsidR="00294E23" w:rsidRPr="000C349E">
        <w:rPr>
          <w:bCs/>
          <w:sz w:val="28"/>
          <w:szCs w:val="28"/>
        </w:rPr>
        <w:t>visit</w:t>
      </w:r>
      <w:r w:rsidR="0045576E" w:rsidRPr="000C349E">
        <w:rPr>
          <w:bCs/>
          <w:sz w:val="28"/>
          <w:szCs w:val="28"/>
        </w:rPr>
        <w:t>aron</w:t>
      </w:r>
      <w:r w:rsidR="00294E23" w:rsidRPr="000C349E">
        <w:rPr>
          <w:bCs/>
          <w:sz w:val="28"/>
          <w:szCs w:val="28"/>
        </w:rPr>
        <w:t xml:space="preserve"> </w:t>
      </w:r>
      <w:r w:rsidRPr="000C349E">
        <w:rPr>
          <w:bCs/>
          <w:sz w:val="28"/>
          <w:szCs w:val="28"/>
        </w:rPr>
        <w:t xml:space="preserve">a </w:t>
      </w:r>
      <w:r w:rsidRPr="000C349E">
        <w:rPr>
          <w:sz w:val="28"/>
          <w:szCs w:val="28"/>
        </w:rPr>
        <w:t>Ángel Aba</w:t>
      </w:r>
      <w:r w:rsidR="00B42F55" w:rsidRPr="000C349E">
        <w:rPr>
          <w:sz w:val="28"/>
          <w:szCs w:val="28"/>
        </w:rPr>
        <w:t>d</w:t>
      </w:r>
      <w:r w:rsidRPr="000C349E">
        <w:rPr>
          <w:sz w:val="28"/>
          <w:szCs w:val="28"/>
        </w:rPr>
        <w:t xml:space="preserve"> Hoyos Fernández</w:t>
      </w:r>
      <w:r w:rsidR="00294E23" w:rsidRPr="000C349E">
        <w:rPr>
          <w:sz w:val="28"/>
          <w:szCs w:val="28"/>
        </w:rPr>
        <w:t xml:space="preserve"> en las instalaciones de Proseguir IPS, </w:t>
      </w:r>
      <w:r w:rsidR="0045576E" w:rsidRPr="000C349E">
        <w:rPr>
          <w:sz w:val="28"/>
          <w:szCs w:val="28"/>
        </w:rPr>
        <w:t xml:space="preserve">concluyendo </w:t>
      </w:r>
      <w:r w:rsidR="00294E23" w:rsidRPr="000C349E">
        <w:rPr>
          <w:sz w:val="28"/>
          <w:szCs w:val="28"/>
        </w:rPr>
        <w:t>que</w:t>
      </w:r>
      <w:r w:rsidR="00563C67" w:rsidRPr="000C349E">
        <w:rPr>
          <w:rStyle w:val="Refdenotaalpie"/>
          <w:sz w:val="28"/>
          <w:szCs w:val="28"/>
        </w:rPr>
        <w:footnoteReference w:id="37"/>
      </w:r>
      <w:r w:rsidR="00294E23" w:rsidRPr="000C349E">
        <w:rPr>
          <w:sz w:val="28"/>
          <w:szCs w:val="28"/>
        </w:rPr>
        <w:t>:</w:t>
      </w:r>
      <w:r w:rsidR="0093595F" w:rsidRPr="000C349E">
        <w:rPr>
          <w:sz w:val="28"/>
          <w:szCs w:val="28"/>
        </w:rPr>
        <w:t xml:space="preserve"> </w:t>
      </w:r>
    </w:p>
    <w:p w:rsidR="009C65C2" w:rsidRPr="000C349E" w:rsidRDefault="009C65C2" w:rsidP="000C349E">
      <w:pPr>
        <w:jc w:val="both"/>
        <w:rPr>
          <w:bCs/>
          <w:sz w:val="28"/>
          <w:szCs w:val="28"/>
        </w:rPr>
      </w:pPr>
    </w:p>
    <w:p w:rsidR="0045576E" w:rsidRPr="000C349E" w:rsidRDefault="00294E23" w:rsidP="000C349E">
      <w:pPr>
        <w:ind w:left="227" w:right="227"/>
        <w:jc w:val="both"/>
        <w:rPr>
          <w:bCs/>
          <w:sz w:val="28"/>
          <w:szCs w:val="28"/>
        </w:rPr>
      </w:pPr>
      <w:r w:rsidRPr="000C349E">
        <w:rPr>
          <w:bCs/>
          <w:sz w:val="28"/>
          <w:szCs w:val="28"/>
        </w:rPr>
        <w:t xml:space="preserve">(i) </w:t>
      </w:r>
      <w:r w:rsidR="00B42F55" w:rsidRPr="000C349E">
        <w:rPr>
          <w:bCs/>
          <w:sz w:val="28"/>
          <w:szCs w:val="28"/>
        </w:rPr>
        <w:t>Es</w:t>
      </w:r>
      <w:r w:rsidRPr="000C349E">
        <w:rPr>
          <w:bCs/>
          <w:sz w:val="28"/>
          <w:szCs w:val="28"/>
        </w:rPr>
        <w:t xml:space="preserve"> un paciente</w:t>
      </w:r>
      <w:r w:rsidR="0045576E" w:rsidRPr="000C349E">
        <w:rPr>
          <w:bCs/>
          <w:sz w:val="28"/>
          <w:szCs w:val="28"/>
        </w:rPr>
        <w:t xml:space="preserve"> </w:t>
      </w:r>
      <w:r w:rsidRPr="000C349E">
        <w:rPr>
          <w:bCs/>
          <w:sz w:val="28"/>
          <w:szCs w:val="28"/>
        </w:rPr>
        <w:t xml:space="preserve">de </w:t>
      </w:r>
      <w:r w:rsidR="00F91AB1" w:rsidRPr="000C349E">
        <w:rPr>
          <w:bCs/>
          <w:sz w:val="28"/>
          <w:szCs w:val="28"/>
        </w:rPr>
        <w:t xml:space="preserve">50 años con </w:t>
      </w:r>
      <w:r w:rsidR="0045576E" w:rsidRPr="000C349E">
        <w:rPr>
          <w:bCs/>
          <w:sz w:val="28"/>
          <w:szCs w:val="28"/>
        </w:rPr>
        <w:t xml:space="preserve">secuelas de un evento cerebrovascular hemorrágico, el cual en la actualidad se encuentra recibiendo terapías de rehabilitación integral y </w:t>
      </w:r>
      <w:r w:rsidR="00B42F55" w:rsidRPr="000C349E">
        <w:rPr>
          <w:bCs/>
          <w:sz w:val="28"/>
          <w:szCs w:val="28"/>
        </w:rPr>
        <w:t xml:space="preserve">cuenta con una </w:t>
      </w:r>
      <w:r w:rsidR="0045576E" w:rsidRPr="000C349E">
        <w:rPr>
          <w:bCs/>
          <w:sz w:val="28"/>
          <w:szCs w:val="28"/>
        </w:rPr>
        <w:t>evolución favorable</w:t>
      </w:r>
      <w:r w:rsidR="00B42F55" w:rsidRPr="000C349E">
        <w:rPr>
          <w:bCs/>
          <w:sz w:val="28"/>
          <w:szCs w:val="28"/>
        </w:rPr>
        <w:t xml:space="preserve">, </w:t>
      </w:r>
      <w:r w:rsidR="0045576E" w:rsidRPr="000C349E">
        <w:rPr>
          <w:bCs/>
          <w:sz w:val="28"/>
          <w:szCs w:val="28"/>
        </w:rPr>
        <w:t xml:space="preserve">que </w:t>
      </w:r>
      <w:r w:rsidR="00B42F55" w:rsidRPr="000C349E">
        <w:rPr>
          <w:bCs/>
          <w:sz w:val="28"/>
          <w:szCs w:val="28"/>
        </w:rPr>
        <w:t>se evidencia en que para la fecha no se advirtió discapacidad cognitiva o física que requiera de apoyos extensos o generalizado</w:t>
      </w:r>
      <w:r w:rsidR="003A21EC" w:rsidRPr="000C349E">
        <w:rPr>
          <w:bCs/>
          <w:sz w:val="28"/>
          <w:szCs w:val="28"/>
        </w:rPr>
        <w:t>s</w:t>
      </w:r>
      <w:r w:rsidR="00B42F55" w:rsidRPr="000C349E">
        <w:rPr>
          <w:bCs/>
          <w:sz w:val="28"/>
          <w:szCs w:val="28"/>
        </w:rPr>
        <w:t xml:space="preserve">. En concreto, las </w:t>
      </w:r>
      <w:r w:rsidR="009733FE" w:rsidRPr="000C349E">
        <w:rPr>
          <w:bCs/>
          <w:sz w:val="28"/>
          <w:szCs w:val="28"/>
        </w:rPr>
        <w:t xml:space="preserve">dificultades </w:t>
      </w:r>
      <w:r w:rsidR="00B42F55" w:rsidRPr="000C349E">
        <w:rPr>
          <w:bCs/>
          <w:sz w:val="28"/>
          <w:szCs w:val="28"/>
        </w:rPr>
        <w:t>de movilidad que padece sugieren que necesita apoyos limitados para la realización de ciertas actividades del hogar, como el arreglo de la vivienda o la manipulación de ciertos electrodomésticos, por lo que se torna imperiosa la valoración del fisiatra para verificar los avances del estado de salud</w:t>
      </w:r>
      <w:r w:rsidR="009733FE" w:rsidRPr="000C349E">
        <w:rPr>
          <w:bCs/>
          <w:sz w:val="28"/>
          <w:szCs w:val="28"/>
        </w:rPr>
        <w:t xml:space="preserve"> y el grado real de discapacidad</w:t>
      </w:r>
      <w:r w:rsidR="00B42F55" w:rsidRPr="000C349E">
        <w:rPr>
          <w:bCs/>
          <w:sz w:val="28"/>
          <w:szCs w:val="28"/>
        </w:rPr>
        <w:t>.</w:t>
      </w:r>
      <w:r w:rsidR="0093595F" w:rsidRPr="000C349E">
        <w:rPr>
          <w:bCs/>
          <w:sz w:val="28"/>
          <w:szCs w:val="28"/>
        </w:rPr>
        <w:t xml:space="preserve"> </w:t>
      </w:r>
    </w:p>
    <w:p w:rsidR="0045576E" w:rsidRPr="000C349E" w:rsidRDefault="0045576E" w:rsidP="000C349E">
      <w:pPr>
        <w:ind w:left="227" w:right="227"/>
        <w:jc w:val="both"/>
        <w:rPr>
          <w:bCs/>
          <w:sz w:val="28"/>
          <w:szCs w:val="28"/>
        </w:rPr>
      </w:pPr>
    </w:p>
    <w:p w:rsidR="003A21EC" w:rsidRPr="000C349E" w:rsidRDefault="0045576E" w:rsidP="000C349E">
      <w:pPr>
        <w:ind w:left="227" w:right="227"/>
        <w:jc w:val="both"/>
        <w:rPr>
          <w:bCs/>
          <w:sz w:val="28"/>
          <w:szCs w:val="28"/>
        </w:rPr>
      </w:pPr>
      <w:r w:rsidRPr="000C349E">
        <w:rPr>
          <w:bCs/>
          <w:sz w:val="28"/>
          <w:szCs w:val="28"/>
        </w:rPr>
        <w:t>(ii) Es una persona que</w:t>
      </w:r>
      <w:r w:rsidR="003A21EC" w:rsidRPr="000C349E">
        <w:rPr>
          <w:bCs/>
          <w:sz w:val="28"/>
          <w:szCs w:val="28"/>
        </w:rPr>
        <w:t>: (a)</w:t>
      </w:r>
      <w:r w:rsidRPr="000C349E">
        <w:rPr>
          <w:bCs/>
          <w:sz w:val="28"/>
          <w:szCs w:val="28"/>
        </w:rPr>
        <w:t xml:space="preserve"> </w:t>
      </w:r>
      <w:r w:rsidR="00B42F55" w:rsidRPr="000C349E">
        <w:rPr>
          <w:bCs/>
          <w:sz w:val="28"/>
          <w:szCs w:val="28"/>
        </w:rPr>
        <w:t>se encuentra en situación de abandono social</w:t>
      </w:r>
      <w:r w:rsidR="003A21EC" w:rsidRPr="000C349E">
        <w:rPr>
          <w:bCs/>
          <w:sz w:val="28"/>
          <w:szCs w:val="28"/>
        </w:rPr>
        <w:t>, pues</w:t>
      </w:r>
      <w:r w:rsidR="00F971E4" w:rsidRPr="000C349E">
        <w:rPr>
          <w:bCs/>
          <w:sz w:val="28"/>
          <w:szCs w:val="28"/>
        </w:rPr>
        <w:t xml:space="preserve"> es divorciado</w:t>
      </w:r>
      <w:r w:rsidR="00406FAC" w:rsidRPr="000C349E">
        <w:rPr>
          <w:bCs/>
          <w:sz w:val="28"/>
          <w:szCs w:val="28"/>
        </w:rPr>
        <w:t xml:space="preserve">, su hija </w:t>
      </w:r>
      <w:r w:rsidR="00496EB1" w:rsidRPr="000C349E">
        <w:rPr>
          <w:bCs/>
          <w:sz w:val="28"/>
          <w:szCs w:val="28"/>
        </w:rPr>
        <w:t xml:space="preserve">Angie Valeria Hoyos Jiménez </w:t>
      </w:r>
      <w:r w:rsidR="00406FAC" w:rsidRPr="000C349E">
        <w:rPr>
          <w:bCs/>
          <w:sz w:val="28"/>
          <w:szCs w:val="28"/>
        </w:rPr>
        <w:t xml:space="preserve">dejó de visitarlo hace </w:t>
      </w:r>
      <w:r w:rsidR="009733FE" w:rsidRPr="000C349E">
        <w:rPr>
          <w:bCs/>
          <w:sz w:val="28"/>
          <w:szCs w:val="28"/>
        </w:rPr>
        <w:t xml:space="preserve">varios </w:t>
      </w:r>
      <w:r w:rsidR="00406FAC" w:rsidRPr="000C349E">
        <w:rPr>
          <w:bCs/>
          <w:sz w:val="28"/>
          <w:szCs w:val="28"/>
        </w:rPr>
        <w:t xml:space="preserve">años y </w:t>
      </w:r>
      <w:r w:rsidR="003A21EC" w:rsidRPr="000C349E">
        <w:rPr>
          <w:bCs/>
          <w:sz w:val="28"/>
          <w:szCs w:val="28"/>
        </w:rPr>
        <w:t xml:space="preserve">se desconoce el paradero de </w:t>
      </w:r>
      <w:r w:rsidR="00406FAC" w:rsidRPr="000C349E">
        <w:rPr>
          <w:bCs/>
          <w:sz w:val="28"/>
          <w:szCs w:val="28"/>
        </w:rPr>
        <w:t xml:space="preserve">algún </w:t>
      </w:r>
      <w:r w:rsidR="003A21EC" w:rsidRPr="000C349E">
        <w:rPr>
          <w:bCs/>
          <w:sz w:val="28"/>
          <w:szCs w:val="28"/>
        </w:rPr>
        <w:t>familiar que le pueda facilitar los apoyos que requiere</w:t>
      </w:r>
      <w:r w:rsidR="00406FAC" w:rsidRPr="000C349E">
        <w:rPr>
          <w:bCs/>
          <w:sz w:val="28"/>
          <w:szCs w:val="28"/>
        </w:rPr>
        <w:t>;</w:t>
      </w:r>
      <w:r w:rsidR="003A21EC" w:rsidRPr="000C349E">
        <w:rPr>
          <w:bCs/>
          <w:sz w:val="28"/>
          <w:szCs w:val="28"/>
        </w:rPr>
        <w:t xml:space="preserve"> y (b) no cuenta con un lugar donde residir, dado que antes del accidente cerebrovascular </w:t>
      </w:r>
      <w:r w:rsidR="009733FE" w:rsidRPr="000C349E">
        <w:rPr>
          <w:bCs/>
          <w:sz w:val="28"/>
          <w:szCs w:val="28"/>
        </w:rPr>
        <w:t>vivía</w:t>
      </w:r>
      <w:r w:rsidR="003A21EC" w:rsidRPr="000C349E">
        <w:rPr>
          <w:bCs/>
          <w:sz w:val="28"/>
          <w:szCs w:val="28"/>
        </w:rPr>
        <w:t xml:space="preserve"> en una habitación en la localidad de Tunjuelito, la cual pagaba con los ingresos derivados de su trabajo en una zapatería.</w:t>
      </w:r>
      <w:r w:rsidR="0093595F" w:rsidRPr="000C349E">
        <w:rPr>
          <w:bCs/>
          <w:sz w:val="28"/>
          <w:szCs w:val="28"/>
        </w:rPr>
        <w:t xml:space="preserve"> </w:t>
      </w:r>
    </w:p>
    <w:p w:rsidR="003A21EC" w:rsidRPr="000C349E" w:rsidRDefault="003A21EC" w:rsidP="000C349E">
      <w:pPr>
        <w:jc w:val="both"/>
        <w:rPr>
          <w:bCs/>
          <w:sz w:val="28"/>
          <w:szCs w:val="28"/>
        </w:rPr>
      </w:pPr>
    </w:p>
    <w:p w:rsidR="00314D37" w:rsidRPr="000C349E" w:rsidRDefault="00406FAC" w:rsidP="000C349E">
      <w:pPr>
        <w:jc w:val="both"/>
        <w:rPr>
          <w:sz w:val="28"/>
          <w:szCs w:val="28"/>
        </w:rPr>
      </w:pPr>
      <w:r w:rsidRPr="000C349E">
        <w:rPr>
          <w:bCs/>
          <w:sz w:val="28"/>
          <w:szCs w:val="28"/>
        </w:rPr>
        <w:t xml:space="preserve">3.8. </w:t>
      </w:r>
      <w:r w:rsidR="003A21EC" w:rsidRPr="000C349E">
        <w:rPr>
          <w:bCs/>
          <w:sz w:val="28"/>
          <w:szCs w:val="28"/>
        </w:rPr>
        <w:t xml:space="preserve">En este sentido, la Secretaría </w:t>
      </w:r>
      <w:r w:rsidR="00AB2834" w:rsidRPr="000C349E">
        <w:rPr>
          <w:bCs/>
          <w:sz w:val="28"/>
          <w:szCs w:val="28"/>
        </w:rPr>
        <w:t xml:space="preserve">de Integración Social afirmó que </w:t>
      </w:r>
      <w:r w:rsidR="005A3883" w:rsidRPr="000C349E">
        <w:rPr>
          <w:bCs/>
          <w:sz w:val="28"/>
          <w:szCs w:val="28"/>
        </w:rPr>
        <w:t>con base en lo</w:t>
      </w:r>
      <w:r w:rsidR="00AB2834" w:rsidRPr="000C349E">
        <w:rPr>
          <w:bCs/>
          <w:sz w:val="28"/>
          <w:szCs w:val="28"/>
        </w:rPr>
        <w:t xml:space="preserve"> evidenciado en la visita </w:t>
      </w:r>
      <w:r w:rsidR="00AB2834" w:rsidRPr="000C349E">
        <w:rPr>
          <w:sz w:val="28"/>
          <w:szCs w:val="28"/>
        </w:rPr>
        <w:t xml:space="preserve">Ángel Abad Hoyos Fernández </w:t>
      </w:r>
      <w:r w:rsidR="00314D37" w:rsidRPr="000C349E">
        <w:rPr>
          <w:sz w:val="28"/>
          <w:szCs w:val="28"/>
        </w:rPr>
        <w:t xml:space="preserve">puede considerarse de manera preliminar que </w:t>
      </w:r>
      <w:r w:rsidR="00AB2834" w:rsidRPr="000C349E">
        <w:rPr>
          <w:sz w:val="28"/>
          <w:szCs w:val="28"/>
        </w:rPr>
        <w:t xml:space="preserve">no cumple con los requisitos para acceder a </w:t>
      </w:r>
      <w:r w:rsidRPr="000C349E">
        <w:rPr>
          <w:sz w:val="28"/>
          <w:szCs w:val="28"/>
        </w:rPr>
        <w:t xml:space="preserve">los </w:t>
      </w:r>
      <w:r w:rsidR="00314D37" w:rsidRPr="000C349E">
        <w:rPr>
          <w:i/>
          <w:sz w:val="28"/>
          <w:szCs w:val="28"/>
        </w:rPr>
        <w:t>“</w:t>
      </w:r>
      <w:r w:rsidRPr="000C349E">
        <w:rPr>
          <w:i/>
          <w:sz w:val="28"/>
          <w:szCs w:val="28"/>
        </w:rPr>
        <w:t>Centros Integrarte</w:t>
      </w:r>
      <w:r w:rsidR="00314D37" w:rsidRPr="000C349E">
        <w:rPr>
          <w:i/>
          <w:sz w:val="28"/>
          <w:szCs w:val="28"/>
        </w:rPr>
        <w:t>”</w:t>
      </w:r>
      <w:r w:rsidRPr="000C349E">
        <w:rPr>
          <w:sz w:val="28"/>
          <w:szCs w:val="28"/>
        </w:rPr>
        <w:t xml:space="preserve"> que ofrecen alojamiento, pues no requiere de apoyos extensos o generalizados. No obstante</w:t>
      </w:r>
      <w:r w:rsidR="00314D37" w:rsidRPr="000C349E">
        <w:rPr>
          <w:sz w:val="28"/>
          <w:szCs w:val="28"/>
        </w:rPr>
        <w:t xml:space="preserve"> lo anterior</w:t>
      </w:r>
      <w:r w:rsidRPr="000C349E">
        <w:rPr>
          <w:sz w:val="28"/>
          <w:szCs w:val="28"/>
        </w:rPr>
        <w:t>, dicha entidad aclaró que para tener certeza sobre el particular, es necesario que se realice la valoración por fisiatría para actualizar la valoración del grado de discapacidad</w:t>
      </w:r>
      <w:r w:rsidR="00314D37" w:rsidRPr="000C349E">
        <w:rPr>
          <w:sz w:val="28"/>
          <w:szCs w:val="28"/>
        </w:rPr>
        <w:t>.</w:t>
      </w:r>
      <w:r w:rsidRPr="000C349E">
        <w:rPr>
          <w:sz w:val="28"/>
          <w:szCs w:val="28"/>
        </w:rPr>
        <w:t xml:space="preserve"> </w:t>
      </w:r>
    </w:p>
    <w:p w:rsidR="00314D37" w:rsidRPr="000C349E" w:rsidRDefault="00314D37" w:rsidP="000C349E">
      <w:pPr>
        <w:jc w:val="both"/>
        <w:rPr>
          <w:sz w:val="28"/>
          <w:szCs w:val="28"/>
        </w:rPr>
      </w:pPr>
    </w:p>
    <w:p w:rsidR="003A21EC" w:rsidRPr="000C349E" w:rsidRDefault="00314D37" w:rsidP="000C349E">
      <w:pPr>
        <w:jc w:val="both"/>
        <w:rPr>
          <w:bCs/>
          <w:sz w:val="28"/>
          <w:szCs w:val="28"/>
        </w:rPr>
      </w:pPr>
      <w:r w:rsidRPr="000C349E">
        <w:rPr>
          <w:sz w:val="28"/>
          <w:szCs w:val="28"/>
        </w:rPr>
        <w:t>3.9. Por último, la Secretaría de Integración Social</w:t>
      </w:r>
      <w:r w:rsidR="00406FAC" w:rsidRPr="000C349E">
        <w:rPr>
          <w:sz w:val="28"/>
          <w:szCs w:val="28"/>
        </w:rPr>
        <w:t xml:space="preserve"> </w:t>
      </w:r>
      <w:r w:rsidR="00234A7B" w:rsidRPr="000C349E">
        <w:rPr>
          <w:sz w:val="28"/>
          <w:szCs w:val="28"/>
        </w:rPr>
        <w:t>recomendó</w:t>
      </w:r>
      <w:r w:rsidRPr="000C349E">
        <w:rPr>
          <w:sz w:val="28"/>
          <w:szCs w:val="28"/>
        </w:rPr>
        <w:t xml:space="preserve"> no dejar de </w:t>
      </w:r>
      <w:r w:rsidR="00406FAC" w:rsidRPr="000C349E">
        <w:rPr>
          <w:sz w:val="28"/>
          <w:szCs w:val="28"/>
        </w:rPr>
        <w:t xml:space="preserve">insistir </w:t>
      </w:r>
      <w:r w:rsidRPr="000C349E">
        <w:rPr>
          <w:sz w:val="28"/>
          <w:szCs w:val="28"/>
        </w:rPr>
        <w:t xml:space="preserve">en </w:t>
      </w:r>
      <w:r w:rsidR="00406FAC" w:rsidRPr="000C349E">
        <w:rPr>
          <w:sz w:val="28"/>
          <w:szCs w:val="28"/>
        </w:rPr>
        <w:t xml:space="preserve">la ubicación de la red familiar </w:t>
      </w:r>
      <w:r w:rsidRPr="000C349E">
        <w:rPr>
          <w:sz w:val="28"/>
          <w:szCs w:val="28"/>
        </w:rPr>
        <w:t xml:space="preserve">de Ángel Abad Hoyos Fernández </w:t>
      </w:r>
      <w:r w:rsidR="00406FAC" w:rsidRPr="000C349E">
        <w:rPr>
          <w:sz w:val="28"/>
          <w:szCs w:val="28"/>
        </w:rPr>
        <w:t xml:space="preserve">para que </w:t>
      </w:r>
      <w:r w:rsidR="00234A7B" w:rsidRPr="000C349E">
        <w:rPr>
          <w:sz w:val="28"/>
          <w:szCs w:val="28"/>
        </w:rPr>
        <w:t xml:space="preserve">la misma, </w:t>
      </w:r>
      <w:r w:rsidRPr="000C349E">
        <w:rPr>
          <w:sz w:val="28"/>
          <w:szCs w:val="28"/>
        </w:rPr>
        <w:t>en cumplimien</w:t>
      </w:r>
      <w:r w:rsidR="00234A7B" w:rsidRPr="000C349E">
        <w:rPr>
          <w:sz w:val="28"/>
          <w:szCs w:val="28"/>
        </w:rPr>
        <w:t xml:space="preserve">to del principio de solidaridad, </w:t>
      </w:r>
      <w:r w:rsidR="00406FAC" w:rsidRPr="000C349E">
        <w:rPr>
          <w:sz w:val="28"/>
          <w:szCs w:val="28"/>
        </w:rPr>
        <w:t>facilite su egreso</w:t>
      </w:r>
      <w:r w:rsidR="00234A7B" w:rsidRPr="000C349E">
        <w:rPr>
          <w:sz w:val="28"/>
          <w:szCs w:val="28"/>
        </w:rPr>
        <w:t xml:space="preserve"> de Proseguir IPS</w:t>
      </w:r>
      <w:r w:rsidRPr="000C349E">
        <w:rPr>
          <w:sz w:val="28"/>
          <w:szCs w:val="28"/>
        </w:rPr>
        <w:t xml:space="preserve"> </w:t>
      </w:r>
      <w:r w:rsidR="00406FAC" w:rsidRPr="000C349E">
        <w:rPr>
          <w:sz w:val="28"/>
          <w:szCs w:val="28"/>
        </w:rPr>
        <w:t>y pueda beneficiarse de otros programas disponibles para la población en situación de discapacidad que ofrece la ciudad.</w:t>
      </w:r>
      <w:r w:rsidR="0093595F" w:rsidRPr="000C349E">
        <w:rPr>
          <w:sz w:val="28"/>
          <w:szCs w:val="28"/>
        </w:rPr>
        <w:t xml:space="preserve"> </w:t>
      </w:r>
    </w:p>
    <w:p w:rsidR="00AB2834" w:rsidRPr="000C349E" w:rsidRDefault="00AB2834" w:rsidP="000C349E">
      <w:pPr>
        <w:jc w:val="both"/>
        <w:rPr>
          <w:bCs/>
          <w:sz w:val="28"/>
          <w:szCs w:val="28"/>
        </w:rPr>
      </w:pPr>
    </w:p>
    <w:p w:rsidR="00A10014" w:rsidRPr="000C349E" w:rsidRDefault="00314D37" w:rsidP="000C349E">
      <w:pPr>
        <w:jc w:val="both"/>
        <w:rPr>
          <w:sz w:val="28"/>
          <w:szCs w:val="28"/>
        </w:rPr>
      </w:pPr>
      <w:r w:rsidRPr="000C349E">
        <w:rPr>
          <w:sz w:val="28"/>
          <w:szCs w:val="28"/>
        </w:rPr>
        <w:t>3.10</w:t>
      </w:r>
      <w:r w:rsidR="00563C67" w:rsidRPr="000C349E">
        <w:rPr>
          <w:sz w:val="28"/>
          <w:szCs w:val="28"/>
        </w:rPr>
        <w:t xml:space="preserve">. El 18 de junio de 2019, la </w:t>
      </w:r>
      <w:r w:rsidR="00563C67" w:rsidRPr="000C349E">
        <w:rPr>
          <w:b/>
          <w:bCs/>
          <w:i/>
          <w:iCs/>
          <w:sz w:val="28"/>
          <w:szCs w:val="28"/>
        </w:rPr>
        <w:t>Comisaría Sexta de Familia de Bogotá</w:t>
      </w:r>
      <w:r w:rsidR="00563C67" w:rsidRPr="000C349E">
        <w:rPr>
          <w:sz w:val="28"/>
          <w:szCs w:val="28"/>
        </w:rPr>
        <w:t xml:space="preserve"> informó que</w:t>
      </w:r>
      <w:r w:rsidR="00025A91" w:rsidRPr="000C349E">
        <w:rPr>
          <w:rStyle w:val="Refdenotaalpie"/>
          <w:sz w:val="28"/>
          <w:szCs w:val="28"/>
        </w:rPr>
        <w:footnoteReference w:id="38"/>
      </w:r>
      <w:r w:rsidR="00A10014" w:rsidRPr="000C349E">
        <w:rPr>
          <w:sz w:val="28"/>
          <w:szCs w:val="28"/>
        </w:rPr>
        <w:t xml:space="preserve">: </w:t>
      </w:r>
    </w:p>
    <w:p w:rsidR="00A10014" w:rsidRPr="000C349E" w:rsidRDefault="00A10014" w:rsidP="000C349E">
      <w:pPr>
        <w:jc w:val="both"/>
        <w:rPr>
          <w:sz w:val="28"/>
          <w:szCs w:val="28"/>
        </w:rPr>
      </w:pPr>
    </w:p>
    <w:p w:rsidR="003E1953" w:rsidRPr="000C349E" w:rsidRDefault="00A10014" w:rsidP="000C349E">
      <w:pPr>
        <w:ind w:left="227" w:right="227"/>
        <w:jc w:val="both"/>
        <w:rPr>
          <w:sz w:val="28"/>
          <w:szCs w:val="28"/>
        </w:rPr>
      </w:pPr>
      <w:r w:rsidRPr="000C349E">
        <w:rPr>
          <w:sz w:val="28"/>
          <w:szCs w:val="28"/>
        </w:rPr>
        <w:t>(i) E</w:t>
      </w:r>
      <w:r w:rsidR="00BF4F01" w:rsidRPr="000C349E">
        <w:rPr>
          <w:sz w:val="28"/>
          <w:szCs w:val="28"/>
        </w:rPr>
        <w:t xml:space="preserve">l 30 de noviembre de 2017 asumió el caso de </w:t>
      </w:r>
      <w:r w:rsidR="00F46788" w:rsidRPr="000C349E">
        <w:rPr>
          <w:sz w:val="28"/>
          <w:szCs w:val="28"/>
        </w:rPr>
        <w:t>Ángel Abad</w:t>
      </w:r>
      <w:r w:rsidR="00BF4F01" w:rsidRPr="000C349E">
        <w:rPr>
          <w:sz w:val="28"/>
          <w:szCs w:val="28"/>
        </w:rPr>
        <w:t xml:space="preserve"> Hoyos Fernández, procediendo a realizar visitas a los lugares donde podría</w:t>
      </w:r>
      <w:r w:rsidR="00563C67" w:rsidRPr="000C349E">
        <w:rPr>
          <w:sz w:val="28"/>
          <w:szCs w:val="28"/>
        </w:rPr>
        <w:t>n</w:t>
      </w:r>
      <w:r w:rsidR="00BF4F01" w:rsidRPr="000C349E">
        <w:rPr>
          <w:sz w:val="28"/>
          <w:szCs w:val="28"/>
        </w:rPr>
        <w:t xml:space="preserve"> residir o ubicar</w:t>
      </w:r>
      <w:r w:rsidR="00563C67" w:rsidRPr="000C349E">
        <w:rPr>
          <w:sz w:val="28"/>
          <w:szCs w:val="28"/>
        </w:rPr>
        <w:t>se</w:t>
      </w:r>
      <w:r w:rsidR="00BF4F01" w:rsidRPr="000C349E">
        <w:rPr>
          <w:sz w:val="28"/>
          <w:szCs w:val="28"/>
        </w:rPr>
        <w:t xml:space="preserve"> a sus familiares</w:t>
      </w:r>
      <w:r w:rsidR="00563C67" w:rsidRPr="000C349E">
        <w:rPr>
          <w:sz w:val="28"/>
          <w:szCs w:val="28"/>
        </w:rPr>
        <w:t>,</w:t>
      </w:r>
      <w:r w:rsidR="00BF4F01" w:rsidRPr="000C349E">
        <w:rPr>
          <w:sz w:val="28"/>
          <w:szCs w:val="28"/>
        </w:rPr>
        <w:t xml:space="preserve"> sin que fuera posible </w:t>
      </w:r>
      <w:r w:rsidR="00563C67" w:rsidRPr="000C349E">
        <w:rPr>
          <w:sz w:val="28"/>
          <w:szCs w:val="28"/>
        </w:rPr>
        <w:t>encontrar a</w:t>
      </w:r>
      <w:r w:rsidR="00BF4F01" w:rsidRPr="000C349E">
        <w:rPr>
          <w:sz w:val="28"/>
          <w:szCs w:val="28"/>
        </w:rPr>
        <w:t xml:space="preserve"> alguno, pues solo se contactó a María del Pilar Jiménez Rodríguez, quien manifestó que se divorció del </w:t>
      </w:r>
      <w:r w:rsidR="003E1953" w:rsidRPr="000C349E">
        <w:rPr>
          <w:sz w:val="28"/>
          <w:szCs w:val="28"/>
        </w:rPr>
        <w:t>mencionado</w:t>
      </w:r>
      <w:r w:rsidR="00BF4F01" w:rsidRPr="000C349E">
        <w:rPr>
          <w:sz w:val="28"/>
          <w:szCs w:val="28"/>
        </w:rPr>
        <w:t xml:space="preserve"> ciudadano hace más de una década y no se encuentra en disposición de asumir su cuidado. </w:t>
      </w:r>
    </w:p>
    <w:p w:rsidR="003E1953" w:rsidRPr="000C349E" w:rsidRDefault="003E1953" w:rsidP="000C349E">
      <w:pPr>
        <w:ind w:left="227" w:right="227"/>
        <w:jc w:val="both"/>
        <w:rPr>
          <w:sz w:val="28"/>
          <w:szCs w:val="28"/>
        </w:rPr>
      </w:pPr>
    </w:p>
    <w:p w:rsidR="00BF4F01" w:rsidRPr="000C349E" w:rsidRDefault="003E1953" w:rsidP="000C349E">
      <w:pPr>
        <w:ind w:left="227" w:right="227"/>
        <w:jc w:val="both"/>
        <w:rPr>
          <w:sz w:val="28"/>
          <w:szCs w:val="28"/>
        </w:rPr>
      </w:pPr>
      <w:r w:rsidRPr="000C349E">
        <w:rPr>
          <w:sz w:val="28"/>
          <w:szCs w:val="28"/>
        </w:rPr>
        <w:t xml:space="preserve">(ii) </w:t>
      </w:r>
      <w:r w:rsidR="00A10014" w:rsidRPr="000C349E">
        <w:rPr>
          <w:sz w:val="28"/>
          <w:szCs w:val="28"/>
        </w:rPr>
        <w:t>El 20 de diciembre de 2017, se entabló comunicación con Proseguir IPS con el fin de que allegara mayor información en torno a la situación de abandono de Ángel Abad Hoyos Fernández y el posible paradero de sus familiares, sin que dicha institución a la fecha hubiera remitido algún dato, incluso después de un</w:t>
      </w:r>
      <w:r w:rsidR="00025A91" w:rsidRPr="000C349E">
        <w:rPr>
          <w:sz w:val="28"/>
          <w:szCs w:val="28"/>
        </w:rPr>
        <w:t xml:space="preserve"> nuevo requerimiento en tal sentido </w:t>
      </w:r>
      <w:r w:rsidR="00E14805" w:rsidRPr="000C349E">
        <w:rPr>
          <w:sz w:val="28"/>
          <w:szCs w:val="28"/>
        </w:rPr>
        <w:t>efectuado</w:t>
      </w:r>
      <w:r w:rsidR="00025A91" w:rsidRPr="000C349E">
        <w:rPr>
          <w:sz w:val="28"/>
          <w:szCs w:val="28"/>
        </w:rPr>
        <w:t xml:space="preserve"> el 6 de febrero de 2018</w:t>
      </w:r>
      <w:r w:rsidR="00A10014" w:rsidRPr="000C349E">
        <w:rPr>
          <w:sz w:val="28"/>
          <w:szCs w:val="28"/>
        </w:rPr>
        <w:t>.</w:t>
      </w:r>
      <w:r w:rsidR="0093595F" w:rsidRPr="000C349E">
        <w:rPr>
          <w:sz w:val="28"/>
          <w:szCs w:val="28"/>
        </w:rPr>
        <w:t xml:space="preserve"> </w:t>
      </w:r>
    </w:p>
    <w:p w:rsidR="00A10014" w:rsidRPr="000C349E" w:rsidRDefault="00A10014" w:rsidP="000C349E">
      <w:pPr>
        <w:jc w:val="both"/>
        <w:rPr>
          <w:sz w:val="28"/>
          <w:szCs w:val="28"/>
        </w:rPr>
      </w:pPr>
    </w:p>
    <w:p w:rsidR="00816FFB" w:rsidRPr="000C349E" w:rsidRDefault="00314D37" w:rsidP="000C349E">
      <w:pPr>
        <w:jc w:val="both"/>
        <w:rPr>
          <w:sz w:val="28"/>
          <w:szCs w:val="28"/>
        </w:rPr>
      </w:pPr>
      <w:r w:rsidRPr="000C349E">
        <w:rPr>
          <w:sz w:val="28"/>
          <w:szCs w:val="28"/>
        </w:rPr>
        <w:t>3.11</w:t>
      </w:r>
      <w:r w:rsidR="00025A91" w:rsidRPr="000C349E">
        <w:rPr>
          <w:sz w:val="28"/>
          <w:szCs w:val="28"/>
        </w:rPr>
        <w:t xml:space="preserve">. Con base en lo anterior, la Comisaría Sexta de Familia de Bogotá explicó que </w:t>
      </w:r>
      <w:r w:rsidR="00E14805" w:rsidRPr="000C349E">
        <w:rPr>
          <w:sz w:val="28"/>
          <w:szCs w:val="28"/>
        </w:rPr>
        <w:t xml:space="preserve">ante la ausencia </w:t>
      </w:r>
      <w:r w:rsidR="00025A91" w:rsidRPr="000C349E">
        <w:rPr>
          <w:sz w:val="28"/>
          <w:szCs w:val="28"/>
        </w:rPr>
        <w:t xml:space="preserve">de información </w:t>
      </w:r>
      <w:r w:rsidR="00E14805" w:rsidRPr="000C349E">
        <w:rPr>
          <w:sz w:val="28"/>
          <w:szCs w:val="28"/>
        </w:rPr>
        <w:t>actualizada sobre e</w:t>
      </w:r>
      <w:r w:rsidR="00025A91" w:rsidRPr="000C349E">
        <w:rPr>
          <w:sz w:val="28"/>
          <w:szCs w:val="28"/>
        </w:rPr>
        <w:t xml:space="preserve">l lugar de ubicación de los familiares de </w:t>
      </w:r>
      <w:bookmarkStart w:id="2" w:name="_Hlk24396735"/>
      <w:r w:rsidR="00025A91" w:rsidRPr="000C349E">
        <w:rPr>
          <w:sz w:val="28"/>
          <w:szCs w:val="28"/>
        </w:rPr>
        <w:t xml:space="preserve">Ángel Abad Hoyos Fernández </w:t>
      </w:r>
      <w:bookmarkEnd w:id="2"/>
      <w:r w:rsidR="00025A91" w:rsidRPr="000C349E">
        <w:rPr>
          <w:sz w:val="28"/>
          <w:szCs w:val="28"/>
        </w:rPr>
        <w:t>y la falta de colaboración por parte de Proseguir IPS, no ha podido proferir medida de protección a</w:t>
      </w:r>
      <w:r w:rsidR="00E14805" w:rsidRPr="000C349E">
        <w:rPr>
          <w:sz w:val="28"/>
          <w:szCs w:val="28"/>
        </w:rPr>
        <w:t xml:space="preserve">lguna en </w:t>
      </w:r>
      <w:r w:rsidR="00025A91" w:rsidRPr="000C349E">
        <w:rPr>
          <w:sz w:val="28"/>
          <w:szCs w:val="28"/>
        </w:rPr>
        <w:t>favor</w:t>
      </w:r>
      <w:r w:rsidR="00E14805" w:rsidRPr="000C349E">
        <w:rPr>
          <w:sz w:val="28"/>
          <w:szCs w:val="28"/>
        </w:rPr>
        <w:t xml:space="preserve"> del referido ciudadano. Con todo, dicha autoridad sostuvo que</w:t>
      </w:r>
      <w:r w:rsidR="00025A91" w:rsidRPr="000C349E">
        <w:rPr>
          <w:sz w:val="28"/>
          <w:szCs w:val="28"/>
        </w:rPr>
        <w:t xml:space="preserve"> </w:t>
      </w:r>
      <w:r w:rsidR="00E14805" w:rsidRPr="000C349E">
        <w:rPr>
          <w:sz w:val="28"/>
          <w:szCs w:val="28"/>
        </w:rPr>
        <w:t>remitió</w:t>
      </w:r>
      <w:r w:rsidR="00025A91" w:rsidRPr="000C349E">
        <w:rPr>
          <w:sz w:val="28"/>
          <w:szCs w:val="28"/>
        </w:rPr>
        <w:t xml:space="preserve"> copias del informe del caso a la Fiscalía General de la Nación para lo de su competencia</w:t>
      </w:r>
      <w:r w:rsidR="00E14805" w:rsidRPr="000C349E">
        <w:rPr>
          <w:rStyle w:val="Refdenotaalpie"/>
          <w:sz w:val="28"/>
          <w:szCs w:val="28"/>
        </w:rPr>
        <w:footnoteReference w:id="39"/>
      </w:r>
      <w:r w:rsidR="00025A91" w:rsidRPr="000C349E">
        <w:rPr>
          <w:sz w:val="28"/>
          <w:szCs w:val="28"/>
        </w:rPr>
        <w:t xml:space="preserve">. </w:t>
      </w:r>
    </w:p>
    <w:p w:rsidR="00025A91" w:rsidRPr="000C349E" w:rsidRDefault="00025A91" w:rsidP="000C349E">
      <w:pPr>
        <w:jc w:val="both"/>
        <w:rPr>
          <w:sz w:val="28"/>
          <w:szCs w:val="28"/>
        </w:rPr>
      </w:pPr>
    </w:p>
    <w:p w:rsidR="009A70EE" w:rsidRPr="000C349E" w:rsidRDefault="009A70EE" w:rsidP="000C349E">
      <w:pPr>
        <w:jc w:val="both"/>
        <w:rPr>
          <w:b/>
          <w:sz w:val="28"/>
          <w:szCs w:val="28"/>
        </w:rPr>
      </w:pPr>
      <w:r w:rsidRPr="000C349E">
        <w:rPr>
          <w:b/>
          <w:sz w:val="28"/>
          <w:szCs w:val="28"/>
        </w:rPr>
        <w:t xml:space="preserve">4. Intervenciones en sede de revisión </w:t>
      </w:r>
    </w:p>
    <w:p w:rsidR="009A70EE" w:rsidRPr="000C349E" w:rsidRDefault="009A70EE" w:rsidP="000C349E">
      <w:pPr>
        <w:jc w:val="both"/>
        <w:rPr>
          <w:sz w:val="28"/>
          <w:szCs w:val="28"/>
        </w:rPr>
      </w:pPr>
    </w:p>
    <w:p w:rsidR="009A70EE" w:rsidRPr="000C349E" w:rsidRDefault="009A70EE" w:rsidP="000C349E">
      <w:pPr>
        <w:jc w:val="both"/>
        <w:rPr>
          <w:sz w:val="28"/>
          <w:szCs w:val="28"/>
          <w:lang w:val="es-CO"/>
        </w:rPr>
      </w:pPr>
      <w:r w:rsidRPr="000C349E">
        <w:rPr>
          <w:sz w:val="28"/>
          <w:szCs w:val="28"/>
          <w:lang w:val="es-CO"/>
        </w:rPr>
        <w:t xml:space="preserve">El 28 de marzo de 2018, la Personería de Bogotá allegó un escrito en el que solicitó que la Corte decrete las medidas pertinentes para proteger los derechos fundamentales de </w:t>
      </w:r>
      <w:r w:rsidRPr="000C349E">
        <w:rPr>
          <w:sz w:val="28"/>
          <w:szCs w:val="28"/>
        </w:rPr>
        <w:t xml:space="preserve">Ángel Abad Hoyos Fernández, así como manifestó su </w:t>
      </w:r>
      <w:r w:rsidRPr="000C349E">
        <w:rPr>
          <w:i/>
          <w:sz w:val="28"/>
          <w:szCs w:val="28"/>
        </w:rPr>
        <w:t>“disposición para hacer el seguimiento y verificación de la decisión que se adopte”</w:t>
      </w:r>
      <w:r w:rsidRPr="000C349E">
        <w:rPr>
          <w:rStyle w:val="Refdenotaalpie"/>
          <w:sz w:val="28"/>
          <w:szCs w:val="28"/>
        </w:rPr>
        <w:footnoteReference w:id="40"/>
      </w:r>
      <w:r w:rsidRPr="000C349E">
        <w:rPr>
          <w:sz w:val="28"/>
          <w:szCs w:val="28"/>
        </w:rPr>
        <w:t>.</w:t>
      </w:r>
      <w:r w:rsidR="00C431D3" w:rsidRPr="000C349E">
        <w:rPr>
          <w:sz w:val="28"/>
          <w:szCs w:val="28"/>
        </w:rPr>
        <w:t xml:space="preserve"> </w:t>
      </w:r>
    </w:p>
    <w:p w:rsidR="009A70EE" w:rsidRPr="000C349E" w:rsidRDefault="009A70EE" w:rsidP="000C349E">
      <w:pPr>
        <w:jc w:val="both"/>
        <w:rPr>
          <w:sz w:val="28"/>
          <w:szCs w:val="28"/>
        </w:rPr>
      </w:pPr>
    </w:p>
    <w:p w:rsidR="00F02DF4" w:rsidRPr="000C349E" w:rsidRDefault="002A1F8A" w:rsidP="000C349E">
      <w:pPr>
        <w:jc w:val="both"/>
        <w:rPr>
          <w:b/>
          <w:sz w:val="28"/>
          <w:szCs w:val="28"/>
        </w:rPr>
      </w:pPr>
      <w:r w:rsidRPr="000C349E">
        <w:rPr>
          <w:b/>
          <w:sz w:val="28"/>
          <w:szCs w:val="28"/>
        </w:rPr>
        <w:t xml:space="preserve">III. CONSIDERACIONES DE LA CORTE CONSTITUCIONAL </w:t>
      </w:r>
    </w:p>
    <w:p w:rsidR="00F02DF4" w:rsidRPr="000C349E" w:rsidRDefault="00F02DF4" w:rsidP="000C349E">
      <w:pPr>
        <w:rPr>
          <w:sz w:val="28"/>
          <w:szCs w:val="28"/>
        </w:rPr>
      </w:pPr>
    </w:p>
    <w:p w:rsidR="00F02DF4" w:rsidRPr="000C349E" w:rsidRDefault="00F02DF4" w:rsidP="000C349E">
      <w:pPr>
        <w:rPr>
          <w:b/>
          <w:sz w:val="28"/>
          <w:szCs w:val="28"/>
        </w:rPr>
      </w:pPr>
      <w:r w:rsidRPr="000C349E">
        <w:rPr>
          <w:b/>
          <w:sz w:val="28"/>
          <w:szCs w:val="28"/>
        </w:rPr>
        <w:t>1. Competencia</w:t>
      </w:r>
    </w:p>
    <w:p w:rsidR="00F02DF4" w:rsidRPr="000C349E" w:rsidRDefault="00F02DF4" w:rsidP="000C349E">
      <w:pPr>
        <w:jc w:val="both"/>
        <w:rPr>
          <w:sz w:val="28"/>
          <w:szCs w:val="28"/>
        </w:rPr>
      </w:pPr>
    </w:p>
    <w:p w:rsidR="00F02DF4" w:rsidRPr="000C349E" w:rsidRDefault="00F02DF4" w:rsidP="000C349E">
      <w:pPr>
        <w:jc w:val="both"/>
        <w:rPr>
          <w:sz w:val="28"/>
          <w:szCs w:val="28"/>
        </w:rPr>
      </w:pPr>
      <w:r w:rsidRPr="000C349E">
        <w:rPr>
          <w:sz w:val="28"/>
          <w:szCs w:val="28"/>
        </w:rPr>
        <w:t>Esta Sala es competente para revisar las decisiones proferidas dentro del expediente de la referencia, con fundamento en los artículos 86 y 241.9 de la Constitución Política</w:t>
      </w:r>
      <w:r w:rsidRPr="000C349E">
        <w:rPr>
          <w:rStyle w:val="Refdenotaalpie"/>
          <w:rFonts w:eastAsia="SimSun"/>
          <w:sz w:val="28"/>
          <w:szCs w:val="28"/>
        </w:rPr>
        <w:footnoteReference w:id="41"/>
      </w:r>
      <w:r w:rsidRPr="000C349E">
        <w:rPr>
          <w:sz w:val="28"/>
          <w:szCs w:val="28"/>
        </w:rPr>
        <w:t xml:space="preserve">. </w:t>
      </w:r>
    </w:p>
    <w:p w:rsidR="00C73CEC" w:rsidRPr="000C349E" w:rsidRDefault="00C73CEC" w:rsidP="000C349E">
      <w:pPr>
        <w:jc w:val="both"/>
        <w:rPr>
          <w:sz w:val="28"/>
          <w:szCs w:val="28"/>
        </w:rPr>
      </w:pPr>
    </w:p>
    <w:p w:rsidR="00656593" w:rsidRPr="000C349E" w:rsidRDefault="00656593" w:rsidP="000C349E">
      <w:pPr>
        <w:jc w:val="both"/>
        <w:rPr>
          <w:b/>
          <w:sz w:val="28"/>
          <w:szCs w:val="28"/>
        </w:rPr>
      </w:pPr>
      <w:r w:rsidRPr="000C349E">
        <w:rPr>
          <w:b/>
          <w:sz w:val="28"/>
          <w:szCs w:val="28"/>
        </w:rPr>
        <w:t xml:space="preserve">2. Cuestión previa: inexistencia de cosa juzgada constitucional y temeridad </w:t>
      </w:r>
    </w:p>
    <w:p w:rsidR="00656593" w:rsidRPr="000C349E" w:rsidRDefault="00656593" w:rsidP="000C349E">
      <w:pPr>
        <w:jc w:val="both"/>
        <w:rPr>
          <w:b/>
          <w:sz w:val="28"/>
          <w:szCs w:val="28"/>
        </w:rPr>
      </w:pPr>
    </w:p>
    <w:p w:rsidR="00656593" w:rsidRPr="000C349E" w:rsidRDefault="00656593" w:rsidP="000C349E">
      <w:pPr>
        <w:jc w:val="both"/>
        <w:rPr>
          <w:sz w:val="28"/>
          <w:szCs w:val="28"/>
        </w:rPr>
      </w:pPr>
      <w:r w:rsidRPr="000C349E">
        <w:rPr>
          <w:sz w:val="28"/>
          <w:szCs w:val="28"/>
        </w:rPr>
        <w:t xml:space="preserve">2.1. La Corte Constitucional ha señalado que cuando un juez tiene noticia de que el accionante pudo haber presentado una o varias acciones de tutela con identidad de partes, de causa y de objeto, adicionales al recurso de amparo que estudia, debe verificar si se configura la existencia de cosa juzgada constitucional o una posible actuación temeraria, ya que en caso afirmativo tendrá que abstenerse de estudiar </w:t>
      </w:r>
      <w:r w:rsidR="000F73C3" w:rsidRPr="000C349E">
        <w:rPr>
          <w:sz w:val="28"/>
          <w:szCs w:val="28"/>
        </w:rPr>
        <w:t xml:space="preserve">de fondo </w:t>
      </w:r>
      <w:r w:rsidRPr="000C349E">
        <w:rPr>
          <w:sz w:val="28"/>
          <w:szCs w:val="28"/>
        </w:rPr>
        <w:t>la solicitud de protección</w:t>
      </w:r>
      <w:r w:rsidRPr="000C349E">
        <w:rPr>
          <w:rStyle w:val="Refdenotaalpie"/>
          <w:sz w:val="28"/>
          <w:szCs w:val="28"/>
        </w:rPr>
        <w:footnoteReference w:id="42"/>
      </w:r>
      <w:r w:rsidRPr="000C349E">
        <w:rPr>
          <w:sz w:val="28"/>
          <w:szCs w:val="28"/>
        </w:rPr>
        <w:t xml:space="preserve">. Sobre el particular, cabe resaltar que: </w:t>
      </w:r>
    </w:p>
    <w:p w:rsidR="00656593" w:rsidRPr="000C349E" w:rsidRDefault="00656593" w:rsidP="000C349E">
      <w:pPr>
        <w:jc w:val="both"/>
        <w:rPr>
          <w:sz w:val="28"/>
          <w:szCs w:val="28"/>
        </w:rPr>
      </w:pPr>
    </w:p>
    <w:p w:rsidR="00656593" w:rsidRPr="000C349E" w:rsidRDefault="00656593" w:rsidP="000C349E">
      <w:pPr>
        <w:ind w:left="227" w:right="227"/>
        <w:jc w:val="both"/>
        <w:rPr>
          <w:sz w:val="28"/>
          <w:szCs w:val="28"/>
        </w:rPr>
      </w:pPr>
      <w:r w:rsidRPr="000C349E">
        <w:rPr>
          <w:sz w:val="28"/>
          <w:szCs w:val="28"/>
        </w:rPr>
        <w:t>(i) En desarrollo de los principios de economía procesal y eficiencia contemplados en el artículo 3° del Decreto 2591 de 1991</w:t>
      </w:r>
      <w:r w:rsidRPr="000C349E">
        <w:rPr>
          <w:rStyle w:val="Refdenotaalpie"/>
          <w:sz w:val="28"/>
          <w:szCs w:val="28"/>
        </w:rPr>
        <w:footnoteReference w:id="43"/>
      </w:r>
      <w:r w:rsidRPr="000C349E">
        <w:rPr>
          <w:sz w:val="28"/>
          <w:szCs w:val="28"/>
        </w:rPr>
        <w:t xml:space="preserve">, esta Corporación ha explicado que </w:t>
      </w:r>
      <w:r w:rsidRPr="000C349E">
        <w:rPr>
          <w:i/>
          <w:sz w:val="28"/>
          <w:szCs w:val="28"/>
        </w:rPr>
        <w:t>“las decisiones proferidas dentro del proceso de tutela tienen la virtualidad de constituir cosa juzgada constitucional, lo cual ocurre cuando este Tribunal conoce de los fallos de tutela adoptados por los jueces de instancia, y decide excluirlos de revisión. No obstante, si el expediente de tutela es seleccionado, este fenómeno jurídico sólo se produce con la ejecutoria del fallo que profiera la Corte Constitucional”</w:t>
      </w:r>
      <w:r w:rsidRPr="000C349E">
        <w:rPr>
          <w:rStyle w:val="Refdenotaalpie"/>
          <w:sz w:val="28"/>
          <w:szCs w:val="28"/>
        </w:rPr>
        <w:footnoteReference w:id="44"/>
      </w:r>
      <w:r w:rsidRPr="000C349E">
        <w:rPr>
          <w:sz w:val="28"/>
          <w:szCs w:val="28"/>
        </w:rPr>
        <w:t>.</w:t>
      </w:r>
    </w:p>
    <w:p w:rsidR="00656593" w:rsidRPr="000C349E" w:rsidRDefault="00656593" w:rsidP="000C349E">
      <w:pPr>
        <w:ind w:left="227" w:right="227"/>
        <w:jc w:val="both"/>
        <w:rPr>
          <w:sz w:val="28"/>
          <w:szCs w:val="28"/>
        </w:rPr>
      </w:pPr>
    </w:p>
    <w:p w:rsidR="00656593" w:rsidRPr="000C349E" w:rsidRDefault="00656593" w:rsidP="000C349E">
      <w:pPr>
        <w:ind w:left="227" w:right="227"/>
        <w:jc w:val="both"/>
        <w:rPr>
          <w:sz w:val="28"/>
          <w:szCs w:val="28"/>
        </w:rPr>
      </w:pPr>
      <w:r w:rsidRPr="000C349E">
        <w:rPr>
          <w:sz w:val="28"/>
          <w:szCs w:val="28"/>
        </w:rPr>
        <w:t>(ii) Al tenor del artículo 38 del Decreto 2591 de 1991</w:t>
      </w:r>
      <w:r w:rsidRPr="000C349E">
        <w:rPr>
          <w:rStyle w:val="Refdenotaalpie"/>
          <w:sz w:val="28"/>
          <w:szCs w:val="28"/>
        </w:rPr>
        <w:footnoteReference w:id="45"/>
      </w:r>
      <w:r w:rsidRPr="000C349E">
        <w:rPr>
          <w:sz w:val="28"/>
          <w:szCs w:val="28"/>
        </w:rPr>
        <w:t xml:space="preserve">, la Corte ha comprendido la temeridad de dos formas, a saber: (a) </w:t>
      </w:r>
      <w:r w:rsidRPr="000C349E">
        <w:rPr>
          <w:i/>
          <w:sz w:val="28"/>
          <w:szCs w:val="28"/>
        </w:rPr>
        <w:t>“según la interpretación literal del precepto mencionado, entiende que dicha institución se configura cuando una persona presenta simultáneamente, ante varios funcionarios judiciales, la misma demanda de tutela”</w:t>
      </w:r>
      <w:r w:rsidRPr="000C349E">
        <w:rPr>
          <w:sz w:val="28"/>
          <w:szCs w:val="28"/>
        </w:rPr>
        <w:t xml:space="preserve">; o (b) bajo una hermenéutica extensiva de la consagración legal, estima que se presenta cuando los mismos </w:t>
      </w:r>
      <w:r w:rsidRPr="000C349E">
        <w:rPr>
          <w:i/>
          <w:sz w:val="28"/>
          <w:szCs w:val="28"/>
        </w:rPr>
        <w:t>“amparos sean instaurados de manera sucesiva, requiriéndose que el actor actúe de mala fe”</w:t>
      </w:r>
      <w:r w:rsidRPr="000C349E">
        <w:rPr>
          <w:rStyle w:val="Refdenotaalpie"/>
          <w:sz w:val="28"/>
          <w:szCs w:val="28"/>
        </w:rPr>
        <w:footnoteReference w:id="46"/>
      </w:r>
      <w:r w:rsidRPr="000C349E">
        <w:rPr>
          <w:sz w:val="28"/>
          <w:szCs w:val="28"/>
        </w:rPr>
        <w:t>.</w:t>
      </w:r>
    </w:p>
    <w:p w:rsidR="00656593" w:rsidRPr="000C349E" w:rsidRDefault="00656593" w:rsidP="000C349E">
      <w:pPr>
        <w:jc w:val="both"/>
        <w:rPr>
          <w:sz w:val="28"/>
          <w:szCs w:val="28"/>
        </w:rPr>
      </w:pPr>
    </w:p>
    <w:p w:rsidR="00656593" w:rsidRPr="000C349E" w:rsidRDefault="00656593" w:rsidP="000C349E">
      <w:pPr>
        <w:jc w:val="both"/>
        <w:rPr>
          <w:sz w:val="28"/>
          <w:szCs w:val="28"/>
        </w:rPr>
      </w:pPr>
      <w:r w:rsidRPr="000C349E">
        <w:rPr>
          <w:sz w:val="28"/>
          <w:szCs w:val="28"/>
        </w:rPr>
        <w:t>2.2. Con todo, debe tenerse en cuenta que este Tribunal ha expresado que no se configura cosa juzgada constitucional o temeridad cuando se presenta una segunda solicitud de amparo en la que se alegan elementos fácticos o jurídicos desconocidos por el actor al momento de interponer la primera acción de tutela</w:t>
      </w:r>
      <w:r w:rsidRPr="000C349E">
        <w:rPr>
          <w:rStyle w:val="Refdenotaalpie"/>
          <w:sz w:val="28"/>
          <w:szCs w:val="28"/>
        </w:rPr>
        <w:footnoteReference w:id="47"/>
      </w:r>
      <w:r w:rsidRPr="000C349E">
        <w:rPr>
          <w:sz w:val="28"/>
          <w:szCs w:val="28"/>
        </w:rPr>
        <w:t xml:space="preserve">. </w:t>
      </w:r>
    </w:p>
    <w:p w:rsidR="00656593" w:rsidRPr="000C349E" w:rsidRDefault="00656593" w:rsidP="000C349E">
      <w:pPr>
        <w:jc w:val="both"/>
        <w:rPr>
          <w:b/>
          <w:sz w:val="28"/>
          <w:szCs w:val="28"/>
        </w:rPr>
      </w:pPr>
    </w:p>
    <w:p w:rsidR="00656593" w:rsidRPr="000C349E" w:rsidRDefault="00656593" w:rsidP="000C349E">
      <w:pPr>
        <w:jc w:val="both"/>
        <w:rPr>
          <w:sz w:val="28"/>
          <w:szCs w:val="28"/>
        </w:rPr>
      </w:pPr>
      <w:r w:rsidRPr="000C349E">
        <w:rPr>
          <w:sz w:val="28"/>
          <w:szCs w:val="28"/>
        </w:rPr>
        <w:t>2.3. En este orden de ideas, esta Corporación no encuentra que se configuren los fenómenos de cosa juzgada constitucional o temeridad en esta ocasión, puesto que no existe identidad de partes, causa y objeto entre el amparo de la referencia (plenario T-7025806) y la acción de tutela contenida en el expediente con número de radicado 11001-40-03-038-2015-01584-00 (T-5518403)</w:t>
      </w:r>
      <w:r w:rsidR="00112043" w:rsidRPr="000C349E">
        <w:rPr>
          <w:sz w:val="28"/>
          <w:szCs w:val="28"/>
        </w:rPr>
        <w:t>, la cual fue presentada en el año 2015 por Jenny Mireya Rodríguez, actuando como agente oficiosa de Ángel Abad Hoyos Fernández, en contra de Famisanar EPS</w:t>
      </w:r>
      <w:r w:rsidR="000F73C3" w:rsidRPr="000C349E">
        <w:rPr>
          <w:rStyle w:val="Refdenotaalpie"/>
          <w:sz w:val="28"/>
          <w:szCs w:val="28"/>
        </w:rPr>
        <w:footnoteReference w:id="48"/>
      </w:r>
      <w:r w:rsidRPr="000C349E">
        <w:rPr>
          <w:sz w:val="28"/>
          <w:szCs w:val="28"/>
        </w:rPr>
        <w:t>.</w:t>
      </w:r>
    </w:p>
    <w:p w:rsidR="00656593" w:rsidRPr="000C349E" w:rsidRDefault="00656593" w:rsidP="000C349E">
      <w:pPr>
        <w:jc w:val="both"/>
        <w:rPr>
          <w:sz w:val="28"/>
          <w:szCs w:val="28"/>
        </w:rPr>
      </w:pPr>
    </w:p>
    <w:p w:rsidR="00656593" w:rsidRPr="000C349E" w:rsidRDefault="00656593" w:rsidP="000C349E">
      <w:pPr>
        <w:jc w:val="both"/>
        <w:rPr>
          <w:sz w:val="28"/>
          <w:szCs w:val="28"/>
        </w:rPr>
      </w:pPr>
      <w:r w:rsidRPr="000C349E">
        <w:rPr>
          <w:sz w:val="28"/>
          <w:szCs w:val="28"/>
        </w:rPr>
        <w:t xml:space="preserve">2.4. En </w:t>
      </w:r>
      <w:r w:rsidR="00DB7467" w:rsidRPr="000C349E">
        <w:rPr>
          <w:sz w:val="28"/>
          <w:szCs w:val="28"/>
        </w:rPr>
        <w:t>efecto</w:t>
      </w:r>
      <w:r w:rsidRPr="000C349E">
        <w:rPr>
          <w:sz w:val="28"/>
          <w:szCs w:val="28"/>
        </w:rPr>
        <w:t>, si bien la Sala observa que en los</w:t>
      </w:r>
      <w:r w:rsidR="004303E5" w:rsidRPr="000C349E">
        <w:rPr>
          <w:sz w:val="28"/>
          <w:szCs w:val="28"/>
        </w:rPr>
        <w:t xml:space="preserve"> dos</w:t>
      </w:r>
      <w:r w:rsidRPr="000C349E">
        <w:rPr>
          <w:sz w:val="28"/>
          <w:szCs w:val="28"/>
        </w:rPr>
        <w:t xml:space="preserve"> asuntos </w:t>
      </w:r>
      <w:r w:rsidR="004303E5" w:rsidRPr="000C349E">
        <w:rPr>
          <w:sz w:val="28"/>
          <w:szCs w:val="28"/>
        </w:rPr>
        <w:t xml:space="preserve">las agentes oficiosas de </w:t>
      </w:r>
      <w:r w:rsidR="00643A8F" w:rsidRPr="000C349E">
        <w:rPr>
          <w:sz w:val="28"/>
          <w:szCs w:val="28"/>
        </w:rPr>
        <w:t xml:space="preserve">Ángel Abad Hoyos Fernández </w:t>
      </w:r>
      <w:r w:rsidRPr="000C349E">
        <w:rPr>
          <w:sz w:val="28"/>
          <w:szCs w:val="28"/>
        </w:rPr>
        <w:t xml:space="preserve">ponen de presente la posible afectación de los derechos fundamentales </w:t>
      </w:r>
      <w:r w:rsidR="00DB7467" w:rsidRPr="000C349E">
        <w:rPr>
          <w:sz w:val="28"/>
          <w:szCs w:val="28"/>
        </w:rPr>
        <w:t xml:space="preserve">de su prohijado, </w:t>
      </w:r>
      <w:r w:rsidRPr="000C349E">
        <w:rPr>
          <w:sz w:val="28"/>
          <w:szCs w:val="28"/>
        </w:rPr>
        <w:t>con ocasión de</w:t>
      </w:r>
      <w:r w:rsidR="00643A8F" w:rsidRPr="000C349E">
        <w:rPr>
          <w:sz w:val="28"/>
          <w:szCs w:val="28"/>
        </w:rPr>
        <w:t xml:space="preserve"> su abandono social y la necesidad de ubicar un lugar especializado para la atención de las secuelas del evento cerebrovascular hemorrágico que padeció en el año 2015</w:t>
      </w:r>
      <w:r w:rsidRPr="000C349E">
        <w:rPr>
          <w:sz w:val="28"/>
          <w:szCs w:val="28"/>
        </w:rPr>
        <w:t xml:space="preserve">, lo cierto es que: </w:t>
      </w:r>
    </w:p>
    <w:p w:rsidR="00656593" w:rsidRPr="000C349E" w:rsidRDefault="00656593" w:rsidP="000C349E">
      <w:pPr>
        <w:jc w:val="both"/>
        <w:rPr>
          <w:sz w:val="28"/>
          <w:szCs w:val="28"/>
        </w:rPr>
      </w:pPr>
    </w:p>
    <w:p w:rsidR="00656593" w:rsidRPr="000C349E" w:rsidRDefault="00656593" w:rsidP="000C349E">
      <w:pPr>
        <w:ind w:left="227" w:right="227"/>
        <w:jc w:val="both"/>
        <w:rPr>
          <w:sz w:val="28"/>
          <w:szCs w:val="28"/>
        </w:rPr>
      </w:pPr>
      <w:r w:rsidRPr="000C349E">
        <w:rPr>
          <w:sz w:val="28"/>
          <w:szCs w:val="28"/>
        </w:rPr>
        <w:t xml:space="preserve">(i) </w:t>
      </w:r>
      <w:r w:rsidR="00AF5748" w:rsidRPr="000C349E">
        <w:rPr>
          <w:sz w:val="28"/>
          <w:szCs w:val="28"/>
        </w:rPr>
        <w:t>En e</w:t>
      </w:r>
      <w:r w:rsidRPr="000C349E">
        <w:rPr>
          <w:sz w:val="28"/>
          <w:szCs w:val="28"/>
        </w:rPr>
        <w:t xml:space="preserve">l </w:t>
      </w:r>
      <w:r w:rsidR="00AF5748" w:rsidRPr="000C349E">
        <w:rPr>
          <w:sz w:val="28"/>
          <w:szCs w:val="28"/>
        </w:rPr>
        <w:t>asunto en revisión</w:t>
      </w:r>
      <w:r w:rsidRPr="000C349E">
        <w:rPr>
          <w:sz w:val="28"/>
          <w:szCs w:val="28"/>
        </w:rPr>
        <w:t xml:space="preserve"> el amparo fue interpuesto</w:t>
      </w:r>
      <w:r w:rsidR="00AF5748" w:rsidRPr="000C349E">
        <w:rPr>
          <w:sz w:val="28"/>
          <w:szCs w:val="28"/>
        </w:rPr>
        <w:t xml:space="preserve"> en contra de María del Pilar Jiménez Rodríguez, José Domingo</w:t>
      </w:r>
      <w:r w:rsidR="00AB4A88" w:rsidRPr="000C349E">
        <w:rPr>
          <w:sz w:val="28"/>
          <w:szCs w:val="28"/>
        </w:rPr>
        <w:t xml:space="preserve"> Martínez Rincón</w:t>
      </w:r>
      <w:r w:rsidR="00AF5748" w:rsidRPr="000C349E">
        <w:rPr>
          <w:sz w:val="28"/>
          <w:szCs w:val="28"/>
        </w:rPr>
        <w:t>, Jenny Mireya Rodríguez, Paula Andrea Jiménez Rodríguez e Isabella Hoyos Jiménez, en su presunta calidad de familiares de Ángel Abad Hoyos Fernández</w:t>
      </w:r>
      <w:r w:rsidR="00DB7467" w:rsidRPr="000C349E">
        <w:rPr>
          <w:rStyle w:val="Refdenotaalpie"/>
          <w:sz w:val="28"/>
          <w:szCs w:val="28"/>
        </w:rPr>
        <w:footnoteReference w:id="49"/>
      </w:r>
      <w:r w:rsidR="00AF5748" w:rsidRPr="000C349E">
        <w:rPr>
          <w:sz w:val="28"/>
          <w:szCs w:val="28"/>
        </w:rPr>
        <w:t>, y en el proceso de tutela iniciado en el año 2015, el recurso de protección fue presentado en contra de Famisanar EPS, en su condición de entidad encargada de asegurar los servicios de salud del mencionado ciudadano</w:t>
      </w:r>
      <w:r w:rsidR="00DB7467" w:rsidRPr="000C349E">
        <w:rPr>
          <w:rStyle w:val="Refdenotaalpie"/>
          <w:sz w:val="28"/>
          <w:szCs w:val="28"/>
        </w:rPr>
        <w:footnoteReference w:id="50"/>
      </w:r>
      <w:r w:rsidRPr="000C349E">
        <w:rPr>
          <w:sz w:val="28"/>
          <w:szCs w:val="28"/>
        </w:rPr>
        <w:t>;</w:t>
      </w:r>
      <w:r w:rsidR="00112043" w:rsidRPr="000C349E">
        <w:rPr>
          <w:sz w:val="28"/>
          <w:szCs w:val="28"/>
        </w:rPr>
        <w:t xml:space="preserve"> y</w:t>
      </w:r>
    </w:p>
    <w:p w:rsidR="00656593" w:rsidRPr="000C349E" w:rsidRDefault="00656593" w:rsidP="000C349E">
      <w:pPr>
        <w:ind w:left="227" w:right="227"/>
        <w:jc w:val="both"/>
        <w:rPr>
          <w:sz w:val="28"/>
          <w:szCs w:val="28"/>
        </w:rPr>
      </w:pPr>
    </w:p>
    <w:p w:rsidR="00AF5748" w:rsidRPr="000C349E" w:rsidRDefault="00AF5748" w:rsidP="000C349E">
      <w:pPr>
        <w:ind w:left="227" w:right="227"/>
        <w:jc w:val="both"/>
        <w:rPr>
          <w:sz w:val="28"/>
          <w:szCs w:val="28"/>
        </w:rPr>
      </w:pPr>
      <w:r w:rsidRPr="000C349E">
        <w:rPr>
          <w:sz w:val="28"/>
          <w:szCs w:val="28"/>
        </w:rPr>
        <w:t xml:space="preserve">(ii) El objeto y la causa del proceso de tutela del año 2015, se </w:t>
      </w:r>
      <w:r w:rsidR="00112043" w:rsidRPr="000C349E">
        <w:rPr>
          <w:sz w:val="28"/>
          <w:szCs w:val="28"/>
        </w:rPr>
        <w:t>circunscribían a la cuestión de determinar</w:t>
      </w:r>
      <w:r w:rsidRPr="000C349E">
        <w:rPr>
          <w:sz w:val="28"/>
          <w:szCs w:val="28"/>
        </w:rPr>
        <w:t xml:space="preserve"> la existencia o no de la obligación de Famisanar EPS de garantizarle a Ángel Abad Hoyos Fernández su traslado a una unidad de cuidados crónicos</w:t>
      </w:r>
      <w:r w:rsidR="00DB7467" w:rsidRPr="000C349E">
        <w:rPr>
          <w:sz w:val="28"/>
          <w:szCs w:val="28"/>
        </w:rPr>
        <w:t xml:space="preserve"> (</w:t>
      </w:r>
      <w:r w:rsidR="00DB7467" w:rsidRPr="000C349E">
        <w:rPr>
          <w:i/>
          <w:sz w:val="28"/>
          <w:szCs w:val="28"/>
        </w:rPr>
        <w:t>derecho a la salud</w:t>
      </w:r>
      <w:r w:rsidR="00DB7467" w:rsidRPr="000C349E">
        <w:rPr>
          <w:sz w:val="28"/>
          <w:szCs w:val="28"/>
        </w:rPr>
        <w:t>)</w:t>
      </w:r>
      <w:r w:rsidR="00DB7467" w:rsidRPr="000C349E">
        <w:rPr>
          <w:rStyle w:val="Refdenotaalpie"/>
          <w:sz w:val="28"/>
          <w:szCs w:val="28"/>
        </w:rPr>
        <w:footnoteReference w:id="51"/>
      </w:r>
      <w:r w:rsidR="00613DDA" w:rsidRPr="000C349E">
        <w:rPr>
          <w:sz w:val="28"/>
          <w:szCs w:val="28"/>
        </w:rPr>
        <w:t>. E</w:t>
      </w:r>
      <w:r w:rsidR="00112043" w:rsidRPr="000C349E">
        <w:rPr>
          <w:sz w:val="28"/>
          <w:szCs w:val="28"/>
        </w:rPr>
        <w:t>mper</w:t>
      </w:r>
      <w:r w:rsidRPr="000C349E">
        <w:rPr>
          <w:sz w:val="28"/>
          <w:szCs w:val="28"/>
        </w:rPr>
        <w:t xml:space="preserve">o, en el </w:t>
      </w:r>
      <w:r w:rsidR="00613DDA" w:rsidRPr="000C349E">
        <w:rPr>
          <w:sz w:val="28"/>
          <w:szCs w:val="28"/>
        </w:rPr>
        <w:t>caso</w:t>
      </w:r>
      <w:r w:rsidRPr="000C349E">
        <w:rPr>
          <w:sz w:val="28"/>
          <w:szCs w:val="28"/>
        </w:rPr>
        <w:t xml:space="preserve"> en </w:t>
      </w:r>
      <w:r w:rsidR="00112043" w:rsidRPr="000C349E">
        <w:rPr>
          <w:sz w:val="28"/>
          <w:szCs w:val="28"/>
        </w:rPr>
        <w:t>revisión</w:t>
      </w:r>
      <w:r w:rsidRPr="000C349E">
        <w:rPr>
          <w:sz w:val="28"/>
          <w:szCs w:val="28"/>
        </w:rPr>
        <w:t xml:space="preserve"> </w:t>
      </w:r>
      <w:r w:rsidR="00112043" w:rsidRPr="000C349E">
        <w:rPr>
          <w:sz w:val="28"/>
          <w:szCs w:val="28"/>
        </w:rPr>
        <w:t xml:space="preserve">dichos elementos giran en torno al problema jurídico de si los familiares del referido ciudadano </w:t>
      </w:r>
      <w:r w:rsidR="009A70EE" w:rsidRPr="000C349E">
        <w:rPr>
          <w:sz w:val="28"/>
          <w:szCs w:val="28"/>
        </w:rPr>
        <w:t>han incumplido</w:t>
      </w:r>
      <w:r w:rsidR="00112043" w:rsidRPr="000C349E">
        <w:rPr>
          <w:sz w:val="28"/>
          <w:szCs w:val="28"/>
        </w:rPr>
        <w:t xml:space="preserve"> o no </w:t>
      </w:r>
      <w:r w:rsidR="00DB7467" w:rsidRPr="000C349E">
        <w:rPr>
          <w:sz w:val="28"/>
          <w:szCs w:val="28"/>
        </w:rPr>
        <w:t xml:space="preserve">los mandatos </w:t>
      </w:r>
      <w:r w:rsidR="009A70EE" w:rsidRPr="000C349E">
        <w:rPr>
          <w:sz w:val="28"/>
          <w:szCs w:val="28"/>
        </w:rPr>
        <w:t xml:space="preserve">derivados </w:t>
      </w:r>
      <w:r w:rsidR="00DB7467" w:rsidRPr="000C349E">
        <w:rPr>
          <w:sz w:val="28"/>
          <w:szCs w:val="28"/>
        </w:rPr>
        <w:t>del principio de</w:t>
      </w:r>
      <w:r w:rsidR="00112043" w:rsidRPr="000C349E">
        <w:rPr>
          <w:sz w:val="28"/>
          <w:szCs w:val="28"/>
        </w:rPr>
        <w:t xml:space="preserve"> solidaridad al omitir adelantar las gestiones necesarias para facilitar su egreso de la unidad </w:t>
      </w:r>
      <w:r w:rsidR="00175A5C" w:rsidRPr="000C349E">
        <w:rPr>
          <w:sz w:val="28"/>
          <w:szCs w:val="28"/>
        </w:rPr>
        <w:t xml:space="preserve">de cuidados crónicos </w:t>
      </w:r>
      <w:r w:rsidR="00DB7467" w:rsidRPr="000C349E">
        <w:rPr>
          <w:sz w:val="28"/>
          <w:szCs w:val="28"/>
        </w:rPr>
        <w:t>en la que se encuentra interno (</w:t>
      </w:r>
      <w:r w:rsidR="00DB7467" w:rsidRPr="000C349E">
        <w:rPr>
          <w:i/>
          <w:sz w:val="28"/>
          <w:szCs w:val="28"/>
        </w:rPr>
        <w:t>derecho</w:t>
      </w:r>
      <w:r w:rsidR="00410170" w:rsidRPr="000C349E">
        <w:rPr>
          <w:i/>
          <w:sz w:val="28"/>
          <w:szCs w:val="28"/>
        </w:rPr>
        <w:t>s</w:t>
      </w:r>
      <w:r w:rsidR="00DB7467" w:rsidRPr="000C349E">
        <w:rPr>
          <w:i/>
          <w:sz w:val="28"/>
          <w:szCs w:val="28"/>
        </w:rPr>
        <w:t xml:space="preserve"> a la vida digna y a la asistencia familiar</w:t>
      </w:r>
      <w:r w:rsidR="00DB7467" w:rsidRPr="000C349E">
        <w:rPr>
          <w:sz w:val="28"/>
          <w:szCs w:val="28"/>
        </w:rPr>
        <w:t>)</w:t>
      </w:r>
      <w:r w:rsidR="00410170" w:rsidRPr="000C349E">
        <w:rPr>
          <w:rStyle w:val="Refdenotaalpie"/>
          <w:sz w:val="28"/>
          <w:szCs w:val="28"/>
        </w:rPr>
        <w:footnoteReference w:id="52"/>
      </w:r>
      <w:r w:rsidR="00112043" w:rsidRPr="000C349E">
        <w:rPr>
          <w:sz w:val="28"/>
          <w:szCs w:val="28"/>
        </w:rPr>
        <w:t>.</w:t>
      </w:r>
    </w:p>
    <w:p w:rsidR="00656593" w:rsidRPr="000C349E" w:rsidRDefault="00656593" w:rsidP="000C349E">
      <w:pPr>
        <w:jc w:val="both"/>
        <w:rPr>
          <w:sz w:val="28"/>
          <w:szCs w:val="28"/>
        </w:rPr>
      </w:pPr>
    </w:p>
    <w:p w:rsidR="00175A5C" w:rsidRPr="000C349E" w:rsidRDefault="00656593" w:rsidP="000C349E">
      <w:pPr>
        <w:jc w:val="both"/>
        <w:rPr>
          <w:b/>
          <w:sz w:val="28"/>
          <w:szCs w:val="28"/>
        </w:rPr>
      </w:pPr>
      <w:r w:rsidRPr="000C349E">
        <w:rPr>
          <w:b/>
          <w:sz w:val="28"/>
          <w:szCs w:val="28"/>
        </w:rPr>
        <w:t>3.</w:t>
      </w:r>
      <w:r w:rsidR="000B36AB" w:rsidRPr="000C349E">
        <w:rPr>
          <w:b/>
          <w:sz w:val="28"/>
          <w:szCs w:val="28"/>
        </w:rPr>
        <w:t xml:space="preserve"> </w:t>
      </w:r>
      <w:r w:rsidR="00175A5C" w:rsidRPr="000C349E">
        <w:rPr>
          <w:b/>
          <w:sz w:val="28"/>
          <w:szCs w:val="28"/>
        </w:rPr>
        <w:t xml:space="preserve">Problemas jurídicos y esquema de resolución </w:t>
      </w:r>
    </w:p>
    <w:p w:rsidR="00175A5C" w:rsidRPr="000C349E" w:rsidRDefault="00175A5C" w:rsidP="000C349E">
      <w:pPr>
        <w:jc w:val="both"/>
        <w:rPr>
          <w:b/>
          <w:sz w:val="28"/>
          <w:szCs w:val="28"/>
        </w:rPr>
      </w:pPr>
    </w:p>
    <w:p w:rsidR="00C431D3" w:rsidRPr="000C349E" w:rsidRDefault="000B36AB" w:rsidP="000C349E">
      <w:pPr>
        <w:jc w:val="both"/>
        <w:rPr>
          <w:sz w:val="28"/>
          <w:szCs w:val="28"/>
        </w:rPr>
      </w:pPr>
      <w:r w:rsidRPr="000C349E">
        <w:rPr>
          <w:sz w:val="28"/>
          <w:szCs w:val="28"/>
        </w:rPr>
        <w:t>3</w:t>
      </w:r>
      <w:r w:rsidR="00175A5C" w:rsidRPr="000C349E">
        <w:rPr>
          <w:sz w:val="28"/>
          <w:szCs w:val="28"/>
        </w:rPr>
        <w:t>.1.</w:t>
      </w:r>
      <w:r w:rsidR="00C431D3" w:rsidRPr="000C349E">
        <w:rPr>
          <w:sz w:val="28"/>
          <w:szCs w:val="28"/>
        </w:rPr>
        <w:t xml:space="preserve"> En la presente oportunidad, le c</w:t>
      </w:r>
      <w:r w:rsidR="00175A5C" w:rsidRPr="000C349E">
        <w:rPr>
          <w:sz w:val="28"/>
          <w:szCs w:val="28"/>
        </w:rPr>
        <w:t xml:space="preserve">orresponde a la Corte decidir sobre el amparo propuesto por </w:t>
      </w:r>
      <w:r w:rsidR="00410170" w:rsidRPr="000C349E">
        <w:rPr>
          <w:sz w:val="28"/>
          <w:szCs w:val="28"/>
        </w:rPr>
        <w:t xml:space="preserve">la representante legal </w:t>
      </w:r>
      <w:r w:rsidR="005E6A49" w:rsidRPr="000C349E">
        <w:rPr>
          <w:sz w:val="28"/>
          <w:szCs w:val="28"/>
        </w:rPr>
        <w:t xml:space="preserve">de </w:t>
      </w:r>
      <w:r w:rsidR="00410170" w:rsidRPr="000C349E">
        <w:rPr>
          <w:sz w:val="28"/>
          <w:szCs w:val="28"/>
        </w:rPr>
        <w:t>Proseguir IPS Ginna Rocío García Parra</w:t>
      </w:r>
      <w:r w:rsidRPr="000C349E">
        <w:rPr>
          <w:sz w:val="28"/>
          <w:szCs w:val="28"/>
        </w:rPr>
        <w:t xml:space="preserve">, actuando como agente oficiosa de Ángel Abad Hoyos Fernández, </w:t>
      </w:r>
      <w:r w:rsidR="00175A5C" w:rsidRPr="000C349E">
        <w:rPr>
          <w:sz w:val="28"/>
          <w:szCs w:val="28"/>
        </w:rPr>
        <w:t xml:space="preserve">en procura de la protección de </w:t>
      </w:r>
      <w:r w:rsidR="00410170" w:rsidRPr="000C349E">
        <w:rPr>
          <w:sz w:val="28"/>
          <w:szCs w:val="28"/>
        </w:rPr>
        <w:t>lo</w:t>
      </w:r>
      <w:r w:rsidRPr="000C349E">
        <w:rPr>
          <w:sz w:val="28"/>
          <w:szCs w:val="28"/>
        </w:rPr>
        <w:t>s</w:t>
      </w:r>
      <w:r w:rsidR="00175A5C" w:rsidRPr="000C349E">
        <w:rPr>
          <w:sz w:val="28"/>
          <w:szCs w:val="28"/>
        </w:rPr>
        <w:t xml:space="preserve"> derechos fundamentales </w:t>
      </w:r>
      <w:r w:rsidR="00410170" w:rsidRPr="000C349E">
        <w:rPr>
          <w:sz w:val="28"/>
          <w:szCs w:val="28"/>
        </w:rPr>
        <w:t xml:space="preserve">de su prohijado </w:t>
      </w:r>
      <w:r w:rsidRPr="000C349E">
        <w:rPr>
          <w:sz w:val="28"/>
          <w:szCs w:val="28"/>
        </w:rPr>
        <w:t xml:space="preserve">a la </w:t>
      </w:r>
      <w:r w:rsidR="00410170" w:rsidRPr="000C349E">
        <w:rPr>
          <w:sz w:val="28"/>
          <w:szCs w:val="28"/>
        </w:rPr>
        <w:t>vida digna</w:t>
      </w:r>
      <w:r w:rsidRPr="000C349E">
        <w:rPr>
          <w:sz w:val="28"/>
          <w:szCs w:val="28"/>
        </w:rPr>
        <w:t xml:space="preserve"> y a la asistencia familiar. </w:t>
      </w:r>
    </w:p>
    <w:p w:rsidR="00C431D3" w:rsidRPr="000C349E" w:rsidRDefault="00C431D3" w:rsidP="000C349E">
      <w:pPr>
        <w:jc w:val="both"/>
        <w:rPr>
          <w:sz w:val="28"/>
          <w:szCs w:val="28"/>
        </w:rPr>
      </w:pPr>
    </w:p>
    <w:p w:rsidR="00175A5C" w:rsidRPr="000C349E" w:rsidRDefault="00C431D3" w:rsidP="000C349E">
      <w:pPr>
        <w:jc w:val="both"/>
        <w:rPr>
          <w:sz w:val="28"/>
          <w:szCs w:val="28"/>
        </w:rPr>
      </w:pPr>
      <w:r w:rsidRPr="000C349E">
        <w:rPr>
          <w:sz w:val="28"/>
          <w:szCs w:val="28"/>
        </w:rPr>
        <w:t xml:space="preserve">3.2. </w:t>
      </w:r>
      <w:r w:rsidR="00175A5C" w:rsidRPr="000C349E">
        <w:rPr>
          <w:sz w:val="28"/>
          <w:szCs w:val="28"/>
        </w:rPr>
        <w:t>Con tal propósito, para empezar este Tribunal deberá determinar si la referida acción de tutela satisface los presupuestos de procedencia y, en caso afirmativo, establecer</w:t>
      </w:r>
      <w:r w:rsidR="000B36AB" w:rsidRPr="000C349E">
        <w:rPr>
          <w:sz w:val="28"/>
          <w:szCs w:val="28"/>
        </w:rPr>
        <w:t xml:space="preserve"> </w:t>
      </w:r>
      <w:r w:rsidR="00175A5C" w:rsidRPr="000C349E">
        <w:rPr>
          <w:sz w:val="28"/>
          <w:szCs w:val="28"/>
        </w:rPr>
        <w:t>si</w:t>
      </w:r>
      <w:r w:rsidR="00613DDA" w:rsidRPr="000C349E">
        <w:rPr>
          <w:sz w:val="28"/>
          <w:szCs w:val="28"/>
        </w:rPr>
        <w:t>,</w:t>
      </w:r>
      <w:r w:rsidR="00410170" w:rsidRPr="000C349E">
        <w:rPr>
          <w:sz w:val="28"/>
          <w:szCs w:val="28"/>
        </w:rPr>
        <w:t xml:space="preserve"> a partir de los mandatos derivados del principio</w:t>
      </w:r>
      <w:r w:rsidR="000B36AB" w:rsidRPr="000C349E">
        <w:rPr>
          <w:sz w:val="28"/>
          <w:szCs w:val="28"/>
        </w:rPr>
        <w:t xml:space="preserve"> </w:t>
      </w:r>
      <w:r w:rsidR="009C3E34" w:rsidRPr="000C349E">
        <w:rPr>
          <w:sz w:val="28"/>
          <w:szCs w:val="28"/>
        </w:rPr>
        <w:t xml:space="preserve">constitucional </w:t>
      </w:r>
      <w:r w:rsidRPr="000C349E">
        <w:rPr>
          <w:sz w:val="28"/>
          <w:szCs w:val="28"/>
        </w:rPr>
        <w:t xml:space="preserve">de solidaridad, </w:t>
      </w:r>
      <w:r w:rsidR="000B36AB" w:rsidRPr="000C349E">
        <w:rPr>
          <w:sz w:val="28"/>
          <w:szCs w:val="28"/>
        </w:rPr>
        <w:t>María del Pilar Jiménez Rodríguez, José Domingo</w:t>
      </w:r>
      <w:r w:rsidR="00AB4A88" w:rsidRPr="000C349E">
        <w:rPr>
          <w:sz w:val="28"/>
          <w:szCs w:val="28"/>
        </w:rPr>
        <w:t xml:space="preserve"> Martínez Rincón</w:t>
      </w:r>
      <w:r w:rsidR="000B36AB" w:rsidRPr="000C349E">
        <w:rPr>
          <w:sz w:val="28"/>
          <w:szCs w:val="28"/>
        </w:rPr>
        <w:t xml:space="preserve">, Jenny Mireya Rodríguez, Paula Andrea Jiménez Rodríguez e Isabella Hoyos Jiménez, </w:t>
      </w:r>
      <w:r w:rsidRPr="000C349E">
        <w:rPr>
          <w:sz w:val="28"/>
          <w:szCs w:val="28"/>
        </w:rPr>
        <w:t xml:space="preserve">han vulnerado los derechos fundamentales de Ángel Abad Hoyos Fernández al no haber concurrido a </w:t>
      </w:r>
      <w:r w:rsidR="000B36AB" w:rsidRPr="000C349E">
        <w:rPr>
          <w:sz w:val="28"/>
          <w:szCs w:val="28"/>
        </w:rPr>
        <w:t xml:space="preserve">garantizar </w:t>
      </w:r>
      <w:r w:rsidRPr="000C349E">
        <w:rPr>
          <w:sz w:val="28"/>
          <w:szCs w:val="28"/>
        </w:rPr>
        <w:t xml:space="preserve">su egreso de </w:t>
      </w:r>
      <w:r w:rsidR="00410170" w:rsidRPr="000C349E">
        <w:rPr>
          <w:sz w:val="28"/>
          <w:szCs w:val="28"/>
        </w:rPr>
        <w:t>la unidad clínica donde se encuentra interno</w:t>
      </w:r>
      <w:r w:rsidR="000B36AB" w:rsidRPr="000C349E">
        <w:rPr>
          <w:sz w:val="28"/>
          <w:szCs w:val="28"/>
        </w:rPr>
        <w:t xml:space="preserve">. </w:t>
      </w:r>
    </w:p>
    <w:p w:rsidR="000B36AB" w:rsidRPr="000C349E" w:rsidRDefault="000B36AB" w:rsidP="000C349E">
      <w:pPr>
        <w:jc w:val="both"/>
        <w:rPr>
          <w:sz w:val="28"/>
          <w:szCs w:val="28"/>
        </w:rPr>
      </w:pPr>
    </w:p>
    <w:p w:rsidR="00175A5C" w:rsidRPr="000C349E" w:rsidRDefault="00495B3A" w:rsidP="000C349E">
      <w:pPr>
        <w:jc w:val="both"/>
        <w:rPr>
          <w:sz w:val="28"/>
          <w:szCs w:val="28"/>
        </w:rPr>
      </w:pPr>
      <w:r w:rsidRPr="000C349E">
        <w:rPr>
          <w:sz w:val="28"/>
          <w:szCs w:val="28"/>
        </w:rPr>
        <w:t>3</w:t>
      </w:r>
      <w:r w:rsidR="00C431D3" w:rsidRPr="000C349E">
        <w:rPr>
          <w:sz w:val="28"/>
          <w:szCs w:val="28"/>
        </w:rPr>
        <w:t>.3</w:t>
      </w:r>
      <w:r w:rsidR="00FF61A3" w:rsidRPr="000C349E">
        <w:rPr>
          <w:sz w:val="28"/>
          <w:szCs w:val="28"/>
        </w:rPr>
        <w:t xml:space="preserve">. Para el efecto, esta </w:t>
      </w:r>
      <w:r w:rsidR="00175A5C" w:rsidRPr="000C349E">
        <w:rPr>
          <w:sz w:val="28"/>
          <w:szCs w:val="28"/>
        </w:rPr>
        <w:t>Sala</w:t>
      </w:r>
      <w:r w:rsidR="00FF61A3" w:rsidRPr="000C349E">
        <w:rPr>
          <w:sz w:val="28"/>
          <w:szCs w:val="28"/>
        </w:rPr>
        <w:t xml:space="preserve"> de Revisión</w:t>
      </w:r>
      <w:r w:rsidR="00175A5C" w:rsidRPr="000C349E">
        <w:rPr>
          <w:sz w:val="28"/>
          <w:szCs w:val="28"/>
        </w:rPr>
        <w:t xml:space="preserve">: (i) comenzará por reiterar </w:t>
      </w:r>
      <w:r w:rsidR="00613DDA" w:rsidRPr="000C349E">
        <w:rPr>
          <w:sz w:val="28"/>
          <w:szCs w:val="28"/>
        </w:rPr>
        <w:t xml:space="preserve">la jurisprudencia en torno a </w:t>
      </w:r>
      <w:r w:rsidR="00175A5C" w:rsidRPr="000C349E">
        <w:rPr>
          <w:sz w:val="28"/>
          <w:szCs w:val="28"/>
        </w:rPr>
        <w:t xml:space="preserve">los requisitos </w:t>
      </w:r>
      <w:r w:rsidR="00CC4AE9" w:rsidRPr="000C349E">
        <w:rPr>
          <w:sz w:val="28"/>
          <w:szCs w:val="28"/>
        </w:rPr>
        <w:t xml:space="preserve">generales </w:t>
      </w:r>
      <w:r w:rsidR="00175A5C" w:rsidRPr="000C349E">
        <w:rPr>
          <w:sz w:val="28"/>
          <w:szCs w:val="28"/>
        </w:rPr>
        <w:t>de procedencia de la acción de tutela</w:t>
      </w:r>
      <w:r w:rsidR="009C3E34" w:rsidRPr="000C349E">
        <w:rPr>
          <w:sz w:val="28"/>
          <w:szCs w:val="28"/>
        </w:rPr>
        <w:t>;</w:t>
      </w:r>
      <w:r w:rsidR="00175A5C" w:rsidRPr="000C349E">
        <w:rPr>
          <w:sz w:val="28"/>
          <w:szCs w:val="28"/>
        </w:rPr>
        <w:t xml:space="preserve"> </w:t>
      </w:r>
      <w:r w:rsidRPr="000C349E">
        <w:rPr>
          <w:sz w:val="28"/>
          <w:szCs w:val="28"/>
        </w:rPr>
        <w:t xml:space="preserve">luego </w:t>
      </w:r>
      <w:r w:rsidR="00175A5C" w:rsidRPr="000C349E">
        <w:rPr>
          <w:sz w:val="28"/>
          <w:szCs w:val="28"/>
        </w:rPr>
        <w:t xml:space="preserve">(ii) reseñará </w:t>
      </w:r>
      <w:r w:rsidR="00FF61A3" w:rsidRPr="000C349E">
        <w:rPr>
          <w:sz w:val="28"/>
          <w:szCs w:val="28"/>
        </w:rPr>
        <w:t xml:space="preserve">el alcance </w:t>
      </w:r>
      <w:r w:rsidR="00613DDA" w:rsidRPr="000C349E">
        <w:rPr>
          <w:sz w:val="28"/>
          <w:szCs w:val="28"/>
        </w:rPr>
        <w:t xml:space="preserve">del deber de solidaridad de la familia con sus parientes en situación de </w:t>
      </w:r>
      <w:r w:rsidR="00C63279" w:rsidRPr="000C349E">
        <w:rPr>
          <w:sz w:val="28"/>
          <w:szCs w:val="28"/>
        </w:rPr>
        <w:t>vulnerabilidad por razones de salud</w:t>
      </w:r>
      <w:r w:rsidR="009C3E34" w:rsidRPr="000C349E">
        <w:rPr>
          <w:sz w:val="28"/>
          <w:szCs w:val="28"/>
        </w:rPr>
        <w:t>;</w:t>
      </w:r>
      <w:r w:rsidR="000B36AB" w:rsidRPr="000C349E">
        <w:rPr>
          <w:sz w:val="28"/>
          <w:szCs w:val="28"/>
        </w:rPr>
        <w:t xml:space="preserve"> </w:t>
      </w:r>
      <w:r w:rsidR="00175A5C" w:rsidRPr="000C349E">
        <w:rPr>
          <w:sz w:val="28"/>
          <w:szCs w:val="28"/>
        </w:rPr>
        <w:t>y</w:t>
      </w:r>
      <w:r w:rsidR="009C3E34" w:rsidRPr="000C349E">
        <w:rPr>
          <w:sz w:val="28"/>
          <w:szCs w:val="28"/>
        </w:rPr>
        <w:t xml:space="preserve">, </w:t>
      </w:r>
      <w:r w:rsidR="000B36AB" w:rsidRPr="000C349E">
        <w:rPr>
          <w:sz w:val="28"/>
          <w:szCs w:val="28"/>
        </w:rPr>
        <w:t>por último</w:t>
      </w:r>
      <w:r w:rsidR="00175A5C" w:rsidRPr="000C349E">
        <w:rPr>
          <w:sz w:val="28"/>
          <w:szCs w:val="28"/>
        </w:rPr>
        <w:t>, (i</w:t>
      </w:r>
      <w:r w:rsidR="000B36AB" w:rsidRPr="000C349E">
        <w:rPr>
          <w:sz w:val="28"/>
          <w:szCs w:val="28"/>
        </w:rPr>
        <w:t>ii</w:t>
      </w:r>
      <w:r w:rsidR="00175A5C" w:rsidRPr="000C349E">
        <w:rPr>
          <w:sz w:val="28"/>
          <w:szCs w:val="28"/>
        </w:rPr>
        <w:t xml:space="preserve">) </w:t>
      </w:r>
      <w:r w:rsidR="000B36AB" w:rsidRPr="000C349E">
        <w:rPr>
          <w:sz w:val="28"/>
          <w:szCs w:val="28"/>
        </w:rPr>
        <w:t>teniendo en cuenta</w:t>
      </w:r>
      <w:r w:rsidR="00175A5C" w:rsidRPr="000C349E">
        <w:rPr>
          <w:sz w:val="28"/>
          <w:szCs w:val="28"/>
        </w:rPr>
        <w:t xml:space="preserve"> las consideraciones </w:t>
      </w:r>
      <w:r w:rsidR="000B36AB" w:rsidRPr="000C349E">
        <w:rPr>
          <w:sz w:val="28"/>
          <w:szCs w:val="28"/>
        </w:rPr>
        <w:t>previas</w:t>
      </w:r>
      <w:r w:rsidR="00175A5C" w:rsidRPr="000C349E">
        <w:rPr>
          <w:sz w:val="28"/>
          <w:szCs w:val="28"/>
        </w:rPr>
        <w:t xml:space="preserve">, </w:t>
      </w:r>
      <w:r w:rsidR="00CC4AE9" w:rsidRPr="000C349E">
        <w:rPr>
          <w:sz w:val="28"/>
          <w:szCs w:val="28"/>
        </w:rPr>
        <w:t xml:space="preserve">analizará </w:t>
      </w:r>
      <w:r w:rsidR="00175A5C" w:rsidRPr="000C349E">
        <w:rPr>
          <w:sz w:val="28"/>
          <w:szCs w:val="28"/>
        </w:rPr>
        <w:t xml:space="preserve">el caso concreto. </w:t>
      </w:r>
    </w:p>
    <w:p w:rsidR="00175A5C" w:rsidRPr="000C349E" w:rsidRDefault="00175A5C" w:rsidP="000C349E">
      <w:pPr>
        <w:jc w:val="both"/>
        <w:rPr>
          <w:sz w:val="28"/>
          <w:szCs w:val="28"/>
        </w:rPr>
      </w:pPr>
    </w:p>
    <w:p w:rsidR="00175A5C" w:rsidRPr="000C349E" w:rsidRDefault="00175A5C" w:rsidP="000C349E">
      <w:pPr>
        <w:jc w:val="both"/>
        <w:rPr>
          <w:b/>
          <w:sz w:val="28"/>
          <w:szCs w:val="28"/>
        </w:rPr>
      </w:pPr>
      <w:r w:rsidRPr="000C349E">
        <w:rPr>
          <w:b/>
          <w:sz w:val="28"/>
          <w:szCs w:val="28"/>
        </w:rPr>
        <w:t>4. La procedencia de la acción de tutela. Reiteración de jurisprudencia</w:t>
      </w:r>
    </w:p>
    <w:p w:rsidR="00175A5C" w:rsidRPr="000C349E" w:rsidRDefault="00175A5C" w:rsidP="000C349E">
      <w:pPr>
        <w:jc w:val="both"/>
        <w:rPr>
          <w:b/>
          <w:sz w:val="28"/>
          <w:szCs w:val="28"/>
        </w:rPr>
      </w:pPr>
    </w:p>
    <w:p w:rsidR="00175A5C" w:rsidRPr="000C349E" w:rsidRDefault="00175A5C" w:rsidP="000C349E">
      <w:pPr>
        <w:jc w:val="both"/>
        <w:rPr>
          <w:sz w:val="28"/>
          <w:szCs w:val="28"/>
          <w:shd w:val="clear" w:color="auto" w:fill="FFFFFF"/>
        </w:rPr>
      </w:pPr>
      <w:r w:rsidRPr="000C349E">
        <w:rPr>
          <w:sz w:val="28"/>
          <w:szCs w:val="28"/>
          <w:lang w:val="es-CO"/>
        </w:rPr>
        <w:t>4.1. En el marco de los procesos de amparo, previo al estudio del fondo del caso planteado, el juez constitucional debe verificar el cumplimiento de los requisitos generales de procedencia de la acción de tutela, que al tenor del artículo 86 de la Carta Política y del Decreto 2591 de 1991</w:t>
      </w:r>
      <w:r w:rsidRPr="000C349E">
        <w:rPr>
          <w:rFonts w:eastAsia="SimSun"/>
          <w:sz w:val="28"/>
          <w:szCs w:val="28"/>
          <w:vertAlign w:val="superscript"/>
          <w:lang w:val="es-CO"/>
        </w:rPr>
        <w:footnoteReference w:id="53"/>
      </w:r>
      <w:r w:rsidRPr="000C349E">
        <w:rPr>
          <w:sz w:val="28"/>
          <w:szCs w:val="28"/>
          <w:lang w:val="es-CO"/>
        </w:rPr>
        <w:t xml:space="preserve">, </w:t>
      </w:r>
      <w:r w:rsidRPr="000C349E">
        <w:rPr>
          <w:sz w:val="28"/>
          <w:szCs w:val="28"/>
          <w:shd w:val="clear" w:color="auto" w:fill="FFFFFF"/>
        </w:rPr>
        <w:t>se sintetizan en: (i) la existencia de legitimación en la causa por activa y (ii) por pasiva, (iii) la instauración del recurso de protección de manera oportuna (inmediatez), y (iv) el agotamiento de los mecanismos judiciales existentes, salvo que tales vías no sean eficaces o idóneas, o en su defecto se configure la ocurrencia de un perjuicio irremediable (subsidiariedad)</w:t>
      </w:r>
      <w:r w:rsidRPr="000C349E">
        <w:rPr>
          <w:rStyle w:val="Refdenotaalpie"/>
          <w:sz w:val="28"/>
          <w:szCs w:val="28"/>
          <w:shd w:val="clear" w:color="auto" w:fill="FFFFFF"/>
        </w:rPr>
        <w:footnoteReference w:id="54"/>
      </w:r>
      <w:r w:rsidRPr="000C349E">
        <w:rPr>
          <w:sz w:val="28"/>
          <w:szCs w:val="28"/>
          <w:shd w:val="clear" w:color="auto" w:fill="FFFFFF"/>
        </w:rPr>
        <w:t>.</w:t>
      </w:r>
    </w:p>
    <w:p w:rsidR="00175A5C" w:rsidRPr="000C349E" w:rsidRDefault="00175A5C" w:rsidP="000C349E">
      <w:pPr>
        <w:jc w:val="both"/>
        <w:rPr>
          <w:sz w:val="28"/>
          <w:szCs w:val="28"/>
          <w:lang w:val="es-CO"/>
        </w:rPr>
      </w:pPr>
    </w:p>
    <w:p w:rsidR="00175A5C" w:rsidRPr="000C349E" w:rsidRDefault="000B36AB" w:rsidP="000C349E">
      <w:pPr>
        <w:jc w:val="both"/>
        <w:rPr>
          <w:sz w:val="28"/>
          <w:szCs w:val="28"/>
          <w:lang w:val="es-CO"/>
        </w:rPr>
      </w:pPr>
      <w:r w:rsidRPr="000C349E">
        <w:rPr>
          <w:sz w:val="28"/>
          <w:szCs w:val="28"/>
          <w:lang w:val="es-CO"/>
        </w:rPr>
        <w:t>4</w:t>
      </w:r>
      <w:r w:rsidR="00175A5C" w:rsidRPr="000C349E">
        <w:rPr>
          <w:sz w:val="28"/>
          <w:szCs w:val="28"/>
          <w:lang w:val="es-CO"/>
        </w:rPr>
        <w:t xml:space="preserve">.2. Así las cosas, en primer lugar, el operador judicial debe determinar la existencia de legitimación en la causa, es decir, si la persona que interpone el amparo tiene interés jurídico para hacerlo (legitimación por activa) y, a su vez, si contra quien se dirige es un sujeto demandable a través de la acción de tutela (legitimación por pasiva). En este sentido, el Decreto 2591 de 1991, señala: </w:t>
      </w:r>
    </w:p>
    <w:p w:rsidR="00175A5C" w:rsidRPr="000C349E" w:rsidRDefault="00175A5C" w:rsidP="000C349E">
      <w:pPr>
        <w:jc w:val="both"/>
        <w:rPr>
          <w:sz w:val="28"/>
          <w:szCs w:val="28"/>
          <w:lang w:val="es-CO"/>
        </w:rPr>
      </w:pPr>
    </w:p>
    <w:p w:rsidR="00175A5C" w:rsidRPr="000C349E" w:rsidRDefault="00175A5C" w:rsidP="000C349E">
      <w:pPr>
        <w:ind w:left="227" w:right="227"/>
        <w:jc w:val="both"/>
        <w:rPr>
          <w:sz w:val="28"/>
          <w:szCs w:val="28"/>
          <w:lang w:val="es-CO"/>
        </w:rPr>
      </w:pPr>
      <w:r w:rsidRPr="000C349E">
        <w:rPr>
          <w:sz w:val="28"/>
          <w:szCs w:val="28"/>
          <w:lang w:val="es-CO"/>
        </w:rPr>
        <w:t xml:space="preserve">(i) En </w:t>
      </w:r>
      <w:r w:rsidRPr="000C349E">
        <w:rPr>
          <w:bCs/>
          <w:sz w:val="28"/>
          <w:szCs w:val="28"/>
          <w:lang w:val="es-CO"/>
        </w:rPr>
        <w:t xml:space="preserve">el artículo 10 que la demanda podrá ser presentada directamente por la persona que considere vulnerados sus derechos fundamentales o </w:t>
      </w:r>
      <w:r w:rsidRPr="000C349E">
        <w:rPr>
          <w:sz w:val="28"/>
          <w:szCs w:val="28"/>
          <w:lang w:val="es-CO" w:eastAsia="es-CO"/>
        </w:rPr>
        <w:t>a través de su representante</w:t>
      </w:r>
      <w:r w:rsidRPr="000C349E">
        <w:rPr>
          <w:rFonts w:eastAsia="SimSun"/>
          <w:bCs/>
          <w:sz w:val="28"/>
          <w:szCs w:val="28"/>
          <w:vertAlign w:val="superscript"/>
          <w:lang w:val="es-CO"/>
        </w:rPr>
        <w:footnoteReference w:id="55"/>
      </w:r>
      <w:r w:rsidRPr="000C349E">
        <w:rPr>
          <w:sz w:val="28"/>
          <w:szCs w:val="28"/>
          <w:lang w:val="es-CO" w:eastAsia="es-CO"/>
        </w:rPr>
        <w:t xml:space="preserve">. De igual manera, indica que </w:t>
      </w:r>
      <w:r w:rsidRPr="000C349E">
        <w:rPr>
          <w:bCs/>
          <w:sz w:val="28"/>
          <w:szCs w:val="28"/>
          <w:lang w:val="es-CO"/>
        </w:rPr>
        <w:t>es posible agenciar derechos ajenos cuando su titular no esté en condiciones de promover su propia defensa, así como que la acción podrá ser ejercida por el Defensor del Pueblo y los personeros municipales</w:t>
      </w:r>
      <w:r w:rsidRPr="000C349E">
        <w:rPr>
          <w:rStyle w:val="Refdenotaalpie"/>
          <w:bCs/>
          <w:sz w:val="28"/>
          <w:szCs w:val="28"/>
          <w:lang w:val="es-CO"/>
        </w:rPr>
        <w:footnoteReference w:id="56"/>
      </w:r>
      <w:r w:rsidRPr="000C349E">
        <w:rPr>
          <w:bCs/>
          <w:sz w:val="28"/>
          <w:szCs w:val="28"/>
          <w:lang w:val="es-CO"/>
        </w:rPr>
        <w:t xml:space="preserve">. </w:t>
      </w:r>
    </w:p>
    <w:p w:rsidR="00175A5C" w:rsidRPr="000C349E" w:rsidRDefault="00175A5C" w:rsidP="000C349E">
      <w:pPr>
        <w:ind w:left="227" w:right="227"/>
        <w:jc w:val="both"/>
        <w:rPr>
          <w:bCs/>
          <w:sz w:val="28"/>
          <w:szCs w:val="28"/>
          <w:lang w:val="es-CO"/>
        </w:rPr>
      </w:pPr>
    </w:p>
    <w:p w:rsidR="00175A5C" w:rsidRPr="000C349E" w:rsidRDefault="00175A5C" w:rsidP="000C349E">
      <w:pPr>
        <w:ind w:left="227" w:right="227"/>
        <w:jc w:val="both"/>
        <w:rPr>
          <w:sz w:val="28"/>
          <w:szCs w:val="28"/>
          <w:lang w:val="es-CO"/>
        </w:rPr>
      </w:pPr>
      <w:r w:rsidRPr="000C349E">
        <w:rPr>
          <w:bCs/>
          <w:sz w:val="28"/>
          <w:szCs w:val="28"/>
          <w:lang w:val="es-CO"/>
        </w:rPr>
        <w:t xml:space="preserve">(ii) En los artículos 5° y </w:t>
      </w:r>
      <w:r w:rsidRPr="000C349E">
        <w:rPr>
          <w:sz w:val="28"/>
          <w:szCs w:val="28"/>
          <w:lang w:val="es-CO"/>
        </w:rPr>
        <w:t>42 que e</w:t>
      </w:r>
      <w:r w:rsidRPr="000C349E">
        <w:rPr>
          <w:sz w:val="28"/>
          <w:szCs w:val="28"/>
        </w:rPr>
        <w:t>l recurso de protección podrá interponerse contra el actuar u</w:t>
      </w:r>
      <w:r w:rsidR="00F20C1B" w:rsidRPr="000C349E">
        <w:rPr>
          <w:sz w:val="28"/>
          <w:szCs w:val="28"/>
        </w:rPr>
        <w:t xml:space="preserve"> omisión de cualquier autoridad </w:t>
      </w:r>
      <w:r w:rsidRPr="000C349E">
        <w:rPr>
          <w:sz w:val="28"/>
          <w:szCs w:val="28"/>
        </w:rPr>
        <w:t xml:space="preserve">e incluso de los particulares </w:t>
      </w:r>
      <w:r w:rsidRPr="000C349E">
        <w:rPr>
          <w:iCs/>
          <w:sz w:val="28"/>
          <w:szCs w:val="28"/>
        </w:rPr>
        <w:t>encargados de la prestación de un servicio público o cuya conducta afecte grave y directamente el interés colectivo, o respecto de los privados frente a quienes el solicitante se halle en estado de subordinación o indefensión</w:t>
      </w:r>
      <w:r w:rsidRPr="000C349E">
        <w:rPr>
          <w:rStyle w:val="Refdenotaalpie"/>
          <w:iCs/>
          <w:sz w:val="28"/>
          <w:szCs w:val="28"/>
        </w:rPr>
        <w:footnoteReference w:id="57"/>
      </w:r>
      <w:r w:rsidRPr="000C349E">
        <w:rPr>
          <w:iCs/>
          <w:sz w:val="28"/>
          <w:szCs w:val="28"/>
        </w:rPr>
        <w:t>.</w:t>
      </w:r>
    </w:p>
    <w:p w:rsidR="00175A5C" w:rsidRPr="000C349E" w:rsidRDefault="00175A5C" w:rsidP="000C349E">
      <w:pPr>
        <w:jc w:val="both"/>
        <w:rPr>
          <w:sz w:val="28"/>
          <w:szCs w:val="28"/>
          <w:lang w:val="es-CO"/>
        </w:rPr>
      </w:pPr>
    </w:p>
    <w:p w:rsidR="00175A5C" w:rsidRPr="000C349E" w:rsidRDefault="000B36AB" w:rsidP="000C349E">
      <w:pPr>
        <w:jc w:val="both"/>
        <w:rPr>
          <w:sz w:val="28"/>
          <w:szCs w:val="28"/>
          <w:bdr w:val="none" w:sz="0" w:space="0" w:color="auto" w:frame="1"/>
          <w:lang w:val="es-CO" w:eastAsia="es-CO"/>
        </w:rPr>
      </w:pPr>
      <w:r w:rsidRPr="000C349E">
        <w:rPr>
          <w:sz w:val="28"/>
          <w:szCs w:val="28"/>
          <w:lang w:val="es-CO"/>
        </w:rPr>
        <w:t>4</w:t>
      </w:r>
      <w:r w:rsidR="00175A5C" w:rsidRPr="000C349E">
        <w:rPr>
          <w:sz w:val="28"/>
          <w:szCs w:val="28"/>
          <w:lang w:val="es-CO"/>
        </w:rPr>
        <w:t>.3. En segundo lugar, de conformidad con lo dispuesto en e</w:t>
      </w:r>
      <w:r w:rsidR="00175A5C" w:rsidRPr="000C349E">
        <w:rPr>
          <w:sz w:val="28"/>
          <w:szCs w:val="28"/>
          <w:bdr w:val="none" w:sz="0" w:space="0" w:color="auto" w:frame="1"/>
          <w:lang w:val="es-CO" w:eastAsia="es-CO"/>
        </w:rPr>
        <w:t>l artículo 86 de la C</w:t>
      </w:r>
      <w:r w:rsidR="00F51A3C" w:rsidRPr="000C349E">
        <w:rPr>
          <w:sz w:val="28"/>
          <w:szCs w:val="28"/>
          <w:bdr w:val="none" w:sz="0" w:space="0" w:color="auto" w:frame="1"/>
          <w:lang w:val="es-CO" w:eastAsia="es-CO"/>
        </w:rPr>
        <w:t xml:space="preserve">arta </w:t>
      </w:r>
      <w:r w:rsidR="00175A5C" w:rsidRPr="000C349E">
        <w:rPr>
          <w:sz w:val="28"/>
          <w:szCs w:val="28"/>
          <w:bdr w:val="none" w:sz="0" w:space="0" w:color="auto" w:frame="1"/>
          <w:lang w:val="es-CO" w:eastAsia="es-CO"/>
        </w:rPr>
        <w:t>Política, el funcionario judicial debe tener en cuenta que el amparo está previsto para la </w:t>
      </w:r>
      <w:r w:rsidR="00175A5C" w:rsidRPr="000C349E">
        <w:rPr>
          <w:i/>
          <w:iCs/>
          <w:sz w:val="28"/>
          <w:szCs w:val="28"/>
          <w:bdr w:val="none" w:sz="0" w:space="0" w:color="auto" w:frame="1"/>
          <w:lang w:val="es-CO" w:eastAsia="es-CO"/>
        </w:rPr>
        <w:t>“protección inmediata”</w:t>
      </w:r>
      <w:r w:rsidR="00175A5C" w:rsidRPr="000C349E">
        <w:rPr>
          <w:sz w:val="28"/>
          <w:szCs w:val="28"/>
          <w:bdr w:val="none" w:sz="0" w:space="0" w:color="auto" w:frame="1"/>
          <w:lang w:val="es-CO" w:eastAsia="es-CO"/>
        </w:rPr>
        <w:t> de los derechos fundamentales que se consideren vulnerados o amenazados, con lo cual el Constituyente buscó asegurar que dicho recurso sea utilizado para atender afectaciones que de manera urgente requieren de la intervención del juez constitucional</w:t>
      </w:r>
      <w:r w:rsidR="00175A5C" w:rsidRPr="000C349E">
        <w:rPr>
          <w:rStyle w:val="Refdenotaalpie"/>
          <w:rFonts w:eastAsia="SimSun"/>
          <w:sz w:val="28"/>
          <w:szCs w:val="28"/>
          <w:bdr w:val="none" w:sz="0" w:space="0" w:color="auto" w:frame="1"/>
          <w:lang w:eastAsia="es-CO"/>
        </w:rPr>
        <w:footnoteReference w:id="58"/>
      </w:r>
      <w:r w:rsidR="00175A5C" w:rsidRPr="000C349E">
        <w:rPr>
          <w:sz w:val="28"/>
          <w:szCs w:val="28"/>
          <w:bdr w:val="none" w:sz="0" w:space="0" w:color="auto" w:frame="1"/>
          <w:lang w:val="es-CO" w:eastAsia="es-CO"/>
        </w:rPr>
        <w:t>.</w:t>
      </w:r>
    </w:p>
    <w:p w:rsidR="00175A5C" w:rsidRPr="000C349E" w:rsidRDefault="00175A5C" w:rsidP="000C349E">
      <w:pPr>
        <w:jc w:val="both"/>
        <w:rPr>
          <w:sz w:val="28"/>
          <w:szCs w:val="28"/>
        </w:rPr>
      </w:pPr>
    </w:p>
    <w:p w:rsidR="00175A5C" w:rsidRPr="000C349E" w:rsidRDefault="000B36AB" w:rsidP="000C349E">
      <w:pPr>
        <w:jc w:val="both"/>
        <w:rPr>
          <w:sz w:val="28"/>
          <w:szCs w:val="28"/>
        </w:rPr>
      </w:pPr>
      <w:r w:rsidRPr="000C349E">
        <w:rPr>
          <w:sz w:val="28"/>
          <w:szCs w:val="28"/>
        </w:rPr>
        <w:t>4</w:t>
      </w:r>
      <w:r w:rsidR="00175A5C" w:rsidRPr="000C349E">
        <w:rPr>
          <w:sz w:val="28"/>
          <w:szCs w:val="28"/>
        </w:rPr>
        <w:t xml:space="preserve">.4. </w:t>
      </w:r>
      <w:r w:rsidR="00175A5C" w:rsidRPr="000C349E">
        <w:rPr>
          <w:sz w:val="28"/>
          <w:szCs w:val="28"/>
          <w:lang w:val="es-CO"/>
        </w:rPr>
        <w:t xml:space="preserve">Al respecto, si bien la Constitución y la ley no establecen un término expreso de caducidad, </w:t>
      </w:r>
      <w:r w:rsidR="00175A5C" w:rsidRPr="000C349E">
        <w:rPr>
          <w:sz w:val="28"/>
          <w:szCs w:val="28"/>
        </w:rPr>
        <w:t xml:space="preserve">en la medida en que lo pretendido con el amparo es la protección concreta y actual de un derecho fundamental, </w:t>
      </w:r>
      <w:r w:rsidR="00175A5C" w:rsidRPr="000C349E">
        <w:rPr>
          <w:sz w:val="28"/>
          <w:szCs w:val="28"/>
          <w:lang w:val="es-CO"/>
        </w:rPr>
        <w:t xml:space="preserve">este Tribunal ha señalado que </w:t>
      </w:r>
      <w:r w:rsidR="00175A5C" w:rsidRPr="000C349E">
        <w:rPr>
          <w:sz w:val="28"/>
          <w:szCs w:val="28"/>
        </w:rPr>
        <w:t>le corresponde al juez</w:t>
      </w:r>
      <w:r w:rsidR="00175A5C" w:rsidRPr="000C349E">
        <w:rPr>
          <w:sz w:val="28"/>
          <w:szCs w:val="28"/>
          <w:lang w:val="es-CO"/>
        </w:rPr>
        <w:t xml:space="preserve"> </w:t>
      </w:r>
      <w:r w:rsidR="00175A5C" w:rsidRPr="000C349E">
        <w:rPr>
          <w:sz w:val="28"/>
          <w:szCs w:val="28"/>
        </w:rPr>
        <w:t>verificar en cada caso en concreto si el plazo fue razonable y proporcionado, es decir, si teniendo en cuenta las circunstancias personales del actor, su diligencia y sus posibilidades reales de defensa, la acción tutela se interpuso oportunamente</w:t>
      </w:r>
      <w:r w:rsidR="00175A5C" w:rsidRPr="000C349E">
        <w:rPr>
          <w:sz w:val="28"/>
          <w:szCs w:val="28"/>
          <w:vertAlign w:val="superscript"/>
        </w:rPr>
        <w:footnoteReference w:id="59"/>
      </w:r>
      <w:r w:rsidR="00175A5C" w:rsidRPr="000C349E">
        <w:rPr>
          <w:sz w:val="28"/>
          <w:szCs w:val="28"/>
        </w:rPr>
        <w:t xml:space="preserve">. </w:t>
      </w:r>
    </w:p>
    <w:p w:rsidR="00175A5C" w:rsidRPr="000C349E" w:rsidRDefault="00175A5C" w:rsidP="000C349E">
      <w:pPr>
        <w:jc w:val="both"/>
        <w:rPr>
          <w:sz w:val="28"/>
          <w:szCs w:val="28"/>
        </w:rPr>
      </w:pPr>
    </w:p>
    <w:p w:rsidR="00175A5C" w:rsidRPr="000C349E" w:rsidRDefault="000B36AB" w:rsidP="000C349E">
      <w:pPr>
        <w:jc w:val="both"/>
        <w:rPr>
          <w:sz w:val="28"/>
          <w:szCs w:val="28"/>
          <w:lang w:eastAsia="zh-CN"/>
        </w:rPr>
      </w:pPr>
      <w:r w:rsidRPr="000C349E">
        <w:rPr>
          <w:sz w:val="28"/>
          <w:szCs w:val="28"/>
          <w:lang w:val="es-CO"/>
        </w:rPr>
        <w:t>4</w:t>
      </w:r>
      <w:r w:rsidR="00175A5C" w:rsidRPr="000C349E">
        <w:rPr>
          <w:sz w:val="28"/>
          <w:szCs w:val="28"/>
          <w:lang w:val="es-CO"/>
        </w:rPr>
        <w:t xml:space="preserve">.5. Por último, en tercer lugar, esta Corporación ha sostenido que es obligación del juez que estudia la procedencia de la acción de tutela tener en cuenta que </w:t>
      </w:r>
      <w:r w:rsidR="00175A5C" w:rsidRPr="000C349E">
        <w:rPr>
          <w:sz w:val="28"/>
          <w:szCs w:val="28"/>
          <w:lang w:val="es-CO" w:eastAsia="zh-CN"/>
        </w:rPr>
        <w:t>ésta</w:t>
      </w:r>
      <w:r w:rsidR="00175A5C" w:rsidRPr="000C349E">
        <w:rPr>
          <w:sz w:val="28"/>
          <w:szCs w:val="28"/>
          <w:lang w:eastAsia="zh-CN"/>
        </w:rPr>
        <w:t xml:space="preserve"> es un mecanismo sumario y preferente creado para la protección de los derechos fundamentales, que se caracteriza por ser</w:t>
      </w:r>
      <w:r w:rsidR="00175A5C" w:rsidRPr="000C349E">
        <w:rPr>
          <w:sz w:val="28"/>
          <w:szCs w:val="28"/>
        </w:rPr>
        <w:t xml:space="preserve"> residual o supletorio, obedeciendo a la necesidad de preservar las competencias atribuidas por el legislador a las diferentes autoridades judiciales a partir de los procedimientos ordinarios o especiales, en los que también se protegen prerrogativas de naturaleza constitucional</w:t>
      </w:r>
      <w:r w:rsidR="00175A5C" w:rsidRPr="000C349E">
        <w:rPr>
          <w:rFonts w:eastAsia="SimSun"/>
          <w:sz w:val="28"/>
          <w:szCs w:val="28"/>
          <w:vertAlign w:val="superscript"/>
        </w:rPr>
        <w:footnoteReference w:id="60"/>
      </w:r>
      <w:r w:rsidR="00175A5C" w:rsidRPr="000C349E">
        <w:rPr>
          <w:sz w:val="28"/>
          <w:szCs w:val="28"/>
          <w:lang w:eastAsia="zh-CN"/>
        </w:rPr>
        <w:t xml:space="preserve">. </w:t>
      </w:r>
    </w:p>
    <w:p w:rsidR="00175A5C" w:rsidRPr="000C349E" w:rsidRDefault="00175A5C" w:rsidP="000C349E">
      <w:pPr>
        <w:jc w:val="both"/>
        <w:rPr>
          <w:sz w:val="28"/>
          <w:szCs w:val="28"/>
          <w:lang w:eastAsia="zh-CN"/>
        </w:rPr>
      </w:pPr>
    </w:p>
    <w:p w:rsidR="004E7C9D" w:rsidRPr="000C349E" w:rsidRDefault="000B36AB" w:rsidP="000C349E">
      <w:pPr>
        <w:jc w:val="both"/>
        <w:rPr>
          <w:sz w:val="28"/>
          <w:szCs w:val="28"/>
        </w:rPr>
      </w:pPr>
      <w:r w:rsidRPr="000C349E">
        <w:rPr>
          <w:sz w:val="28"/>
          <w:szCs w:val="28"/>
        </w:rPr>
        <w:t>4</w:t>
      </w:r>
      <w:r w:rsidR="00175A5C" w:rsidRPr="000C349E">
        <w:rPr>
          <w:sz w:val="28"/>
          <w:szCs w:val="28"/>
        </w:rPr>
        <w:t>.6. Así pues, el recurso de amparo no puede convertirse en un instrumento alternativo, sustitutivo, paralelo o complementario de los diversos procedimientos existentes en el ordenamiento jurídico, salvo que los mismos sean ineficaces, no idóneos o se configure un perjuicio irremediable. En relación con este último, este Tribunal ha determinado que</w:t>
      </w:r>
      <w:r w:rsidR="004E7C9D" w:rsidRPr="000C349E">
        <w:rPr>
          <w:sz w:val="28"/>
          <w:szCs w:val="28"/>
        </w:rPr>
        <w:t>:</w:t>
      </w:r>
      <w:r w:rsidR="00175A5C" w:rsidRPr="000C349E">
        <w:rPr>
          <w:sz w:val="28"/>
          <w:szCs w:val="28"/>
        </w:rPr>
        <w:t xml:space="preserve"> </w:t>
      </w:r>
    </w:p>
    <w:p w:rsidR="004E7C9D" w:rsidRPr="000C349E" w:rsidRDefault="004E7C9D" w:rsidP="000C349E">
      <w:pPr>
        <w:jc w:val="both"/>
        <w:rPr>
          <w:sz w:val="28"/>
          <w:szCs w:val="28"/>
        </w:rPr>
      </w:pPr>
    </w:p>
    <w:p w:rsidR="00175A5C" w:rsidRPr="000C349E" w:rsidRDefault="004E7C9D" w:rsidP="000C349E">
      <w:pPr>
        <w:ind w:left="227" w:right="227"/>
        <w:jc w:val="both"/>
        <w:rPr>
          <w:sz w:val="28"/>
          <w:szCs w:val="28"/>
        </w:rPr>
      </w:pPr>
      <w:r w:rsidRPr="000C349E">
        <w:rPr>
          <w:i/>
          <w:sz w:val="28"/>
          <w:szCs w:val="28"/>
        </w:rPr>
        <w:t>“S</w:t>
      </w:r>
      <w:r w:rsidR="00175A5C" w:rsidRPr="000C349E">
        <w:rPr>
          <w:i/>
          <w:sz w:val="28"/>
          <w:szCs w:val="28"/>
        </w:rPr>
        <w:t xml:space="preserve">e configura cuando existe el riesgo de que </w:t>
      </w:r>
      <w:r w:rsidR="00175A5C" w:rsidRPr="000C349E">
        <w:rPr>
          <w:i/>
          <w:iCs/>
          <w:sz w:val="28"/>
          <w:szCs w:val="28"/>
        </w:rPr>
        <w:t>un bien de alta significación objetiva protegido por el orden jurídico</w:t>
      </w:r>
      <w:r w:rsidR="00175A5C" w:rsidRPr="000C349E">
        <w:rPr>
          <w:i/>
          <w:sz w:val="28"/>
          <w:szCs w:val="28"/>
        </w:rPr>
        <w:t xml:space="preserve"> o un derecho constitucional fundamental sufra un menoscabo. En ese sentido, el riesgo de daño debe ser inminente, grave y debe requerir medidas urgentes e impostergables. De tal manera que la gravedad de los hechos exige la inmediatez de la medida de protección”</w:t>
      </w:r>
      <w:r w:rsidR="00175A5C" w:rsidRPr="000C349E">
        <w:rPr>
          <w:rStyle w:val="Refdenotaalpie"/>
          <w:sz w:val="28"/>
          <w:szCs w:val="28"/>
        </w:rPr>
        <w:footnoteReference w:id="61"/>
      </w:r>
      <w:r w:rsidR="00175A5C" w:rsidRPr="000C349E">
        <w:rPr>
          <w:sz w:val="28"/>
          <w:szCs w:val="28"/>
        </w:rPr>
        <w:t xml:space="preserve">. </w:t>
      </w:r>
    </w:p>
    <w:p w:rsidR="004E7C9D" w:rsidRPr="000C349E" w:rsidRDefault="00656593" w:rsidP="000C349E">
      <w:pPr>
        <w:jc w:val="both"/>
        <w:rPr>
          <w:b/>
          <w:sz w:val="28"/>
          <w:szCs w:val="28"/>
        </w:rPr>
      </w:pPr>
      <w:r w:rsidRPr="000C349E">
        <w:rPr>
          <w:b/>
          <w:sz w:val="28"/>
          <w:szCs w:val="28"/>
        </w:rPr>
        <w:t xml:space="preserve"> </w:t>
      </w:r>
    </w:p>
    <w:p w:rsidR="00FF61A3" w:rsidRPr="000C349E" w:rsidRDefault="00FF61A3" w:rsidP="000C349E">
      <w:pPr>
        <w:jc w:val="both"/>
        <w:rPr>
          <w:b/>
          <w:sz w:val="28"/>
          <w:szCs w:val="28"/>
          <w:lang w:val="es-CO"/>
        </w:rPr>
      </w:pPr>
      <w:r w:rsidRPr="000C349E">
        <w:rPr>
          <w:b/>
          <w:sz w:val="28"/>
          <w:szCs w:val="28"/>
          <w:lang w:val="es-CO"/>
        </w:rPr>
        <w:t xml:space="preserve">5. </w:t>
      </w:r>
      <w:r w:rsidR="004570DB" w:rsidRPr="000C349E">
        <w:rPr>
          <w:b/>
          <w:sz w:val="28"/>
          <w:szCs w:val="28"/>
          <w:lang w:val="es-CO"/>
        </w:rPr>
        <w:t xml:space="preserve">El deber de </w:t>
      </w:r>
      <w:r w:rsidRPr="000C349E">
        <w:rPr>
          <w:b/>
          <w:sz w:val="28"/>
          <w:szCs w:val="28"/>
          <w:lang w:val="es-CO"/>
        </w:rPr>
        <w:t xml:space="preserve">solidaridad </w:t>
      </w:r>
      <w:r w:rsidR="00C63279" w:rsidRPr="000C349E">
        <w:rPr>
          <w:b/>
          <w:sz w:val="28"/>
          <w:szCs w:val="28"/>
          <w:lang w:val="es-CO"/>
        </w:rPr>
        <w:t>de la familia con sus parientes en situación de vulnerabilidad por razones de salud</w:t>
      </w:r>
      <w:r w:rsidRPr="000C349E">
        <w:rPr>
          <w:b/>
          <w:sz w:val="28"/>
          <w:szCs w:val="28"/>
          <w:lang w:val="es-CO"/>
        </w:rPr>
        <w:t>. Reiteración de jurisprudencia</w:t>
      </w:r>
    </w:p>
    <w:p w:rsidR="00FF61A3" w:rsidRPr="000C349E" w:rsidRDefault="00FF61A3" w:rsidP="000C349E">
      <w:pPr>
        <w:jc w:val="both"/>
        <w:rPr>
          <w:sz w:val="28"/>
          <w:szCs w:val="28"/>
          <w:lang w:val="es-CO"/>
        </w:rPr>
      </w:pPr>
    </w:p>
    <w:p w:rsidR="00FF61A3" w:rsidRPr="000C349E" w:rsidRDefault="00FF61A3" w:rsidP="000C349E">
      <w:pPr>
        <w:jc w:val="both"/>
        <w:rPr>
          <w:sz w:val="28"/>
          <w:szCs w:val="28"/>
          <w:lang w:val="es-CO"/>
        </w:rPr>
      </w:pPr>
      <w:r w:rsidRPr="000C349E">
        <w:rPr>
          <w:sz w:val="28"/>
          <w:szCs w:val="28"/>
          <w:lang w:val="es-CO"/>
        </w:rPr>
        <w:t xml:space="preserve">5.1. La Constitución Política de 1991 consagra la solidaridad como un principio fundante del Estado Social de Derecho (artículo 1º), así como un deber </w:t>
      </w:r>
      <w:r w:rsidR="00D26F63" w:rsidRPr="000C349E">
        <w:rPr>
          <w:sz w:val="28"/>
          <w:szCs w:val="28"/>
          <w:lang w:val="es-CO"/>
        </w:rPr>
        <w:t>que se materializa</w:t>
      </w:r>
      <w:r w:rsidRPr="000C349E">
        <w:rPr>
          <w:sz w:val="28"/>
          <w:szCs w:val="28"/>
          <w:lang w:val="es-CO"/>
        </w:rPr>
        <w:t xml:space="preserve"> en la obligación de los individuos de responder </w:t>
      </w:r>
      <w:r w:rsidRPr="000C349E">
        <w:rPr>
          <w:i/>
          <w:sz w:val="28"/>
          <w:szCs w:val="28"/>
          <w:lang w:val="es-CO"/>
        </w:rPr>
        <w:t>“con acciones humanitarias ante situaciones que pongan en peligro la vida o la salud de las personas”</w:t>
      </w:r>
      <w:r w:rsidRPr="000C349E">
        <w:rPr>
          <w:sz w:val="28"/>
          <w:szCs w:val="28"/>
          <w:lang w:val="es-CO"/>
        </w:rPr>
        <w:t xml:space="preserve"> (artículo 95.2). </w:t>
      </w:r>
    </w:p>
    <w:p w:rsidR="00FF61A3" w:rsidRPr="000C349E" w:rsidRDefault="00FF61A3" w:rsidP="000C349E">
      <w:pPr>
        <w:jc w:val="both"/>
        <w:rPr>
          <w:sz w:val="28"/>
          <w:szCs w:val="28"/>
          <w:lang w:val="es-CO"/>
        </w:rPr>
      </w:pPr>
    </w:p>
    <w:p w:rsidR="00FF61A3" w:rsidRPr="000C349E" w:rsidRDefault="00065FC3" w:rsidP="000C349E">
      <w:pPr>
        <w:jc w:val="both"/>
        <w:rPr>
          <w:sz w:val="28"/>
          <w:szCs w:val="28"/>
          <w:lang w:val="es-CO"/>
        </w:rPr>
      </w:pPr>
      <w:r w:rsidRPr="000C349E">
        <w:rPr>
          <w:sz w:val="28"/>
          <w:szCs w:val="28"/>
          <w:lang w:val="es-CO"/>
        </w:rPr>
        <w:t xml:space="preserve">5.2. En torno a la solidaridad, este Tribunal ha sostenido que </w:t>
      </w:r>
      <w:r w:rsidR="009B7646" w:rsidRPr="000C349E">
        <w:rPr>
          <w:i/>
          <w:sz w:val="28"/>
          <w:szCs w:val="28"/>
          <w:lang w:val="es-CO"/>
        </w:rPr>
        <w:t>“desde el punto de vista constitucional, tiene el sentido de un deber impuesto a toda persona por el sólo hecho de su pertenencia al conglomerado social, consistente en la vinculación del propio esfuerzo y actividad en beneficio o apoyo de otros asociados o en interés colectivo. Empero fundamentalmente se trata de un principio que inspira la conducta de los individuos para fundar la convivencia en la cooperación y no en el egoísmo”</w:t>
      </w:r>
      <w:r w:rsidR="009B7646" w:rsidRPr="000C349E">
        <w:rPr>
          <w:rStyle w:val="Refdenotaalpie"/>
          <w:sz w:val="28"/>
          <w:szCs w:val="28"/>
          <w:lang w:val="es-CO"/>
        </w:rPr>
        <w:footnoteReference w:id="62"/>
      </w:r>
      <w:r w:rsidR="009B7646" w:rsidRPr="000C349E">
        <w:rPr>
          <w:sz w:val="28"/>
          <w:szCs w:val="28"/>
          <w:lang w:val="es-CO"/>
        </w:rPr>
        <w:t>.</w:t>
      </w:r>
    </w:p>
    <w:p w:rsidR="00175A5C" w:rsidRPr="000C349E" w:rsidRDefault="00175A5C" w:rsidP="000C349E">
      <w:pPr>
        <w:jc w:val="both"/>
        <w:rPr>
          <w:sz w:val="28"/>
          <w:szCs w:val="28"/>
        </w:rPr>
      </w:pPr>
    </w:p>
    <w:p w:rsidR="00D26F63" w:rsidRPr="000C349E" w:rsidRDefault="00D26F63" w:rsidP="000C349E">
      <w:pPr>
        <w:jc w:val="both"/>
        <w:rPr>
          <w:sz w:val="28"/>
          <w:szCs w:val="28"/>
        </w:rPr>
      </w:pPr>
      <w:r w:rsidRPr="000C349E">
        <w:rPr>
          <w:sz w:val="28"/>
          <w:szCs w:val="28"/>
        </w:rPr>
        <w:t xml:space="preserve">5.3. </w:t>
      </w:r>
      <w:r w:rsidR="005A33FF" w:rsidRPr="000C349E">
        <w:rPr>
          <w:sz w:val="28"/>
          <w:szCs w:val="28"/>
        </w:rPr>
        <w:t>En este sentido, esta Corporación ha afirmado que la solidaridad representa un límite al ejercicio de los derechos propios</w:t>
      </w:r>
      <w:r w:rsidR="005A33FF" w:rsidRPr="000C349E">
        <w:rPr>
          <w:rStyle w:val="Refdenotaalpie"/>
          <w:sz w:val="28"/>
          <w:szCs w:val="28"/>
        </w:rPr>
        <w:footnoteReference w:id="63"/>
      </w:r>
      <w:r w:rsidR="005A33FF" w:rsidRPr="000C349E">
        <w:rPr>
          <w:sz w:val="28"/>
          <w:szCs w:val="28"/>
        </w:rPr>
        <w:t xml:space="preserve">, </w:t>
      </w:r>
      <w:r w:rsidR="00DA2CBF" w:rsidRPr="000C349E">
        <w:rPr>
          <w:sz w:val="28"/>
          <w:szCs w:val="28"/>
        </w:rPr>
        <w:t>pues en algunas ocasiones la</w:t>
      </w:r>
      <w:r w:rsidR="00DA688A" w:rsidRPr="000C349E">
        <w:rPr>
          <w:sz w:val="28"/>
          <w:szCs w:val="28"/>
        </w:rPr>
        <w:t xml:space="preserve"> aplicación </w:t>
      </w:r>
      <w:r w:rsidR="00DA2CBF" w:rsidRPr="000C349E">
        <w:rPr>
          <w:sz w:val="28"/>
          <w:szCs w:val="28"/>
        </w:rPr>
        <w:t xml:space="preserve">de sus mandatos </w:t>
      </w:r>
      <w:r w:rsidR="00DA688A" w:rsidRPr="000C349E">
        <w:rPr>
          <w:sz w:val="28"/>
          <w:szCs w:val="28"/>
        </w:rPr>
        <w:t xml:space="preserve">puede derivar en la restricción parcial de </w:t>
      </w:r>
      <w:r w:rsidR="00097C37" w:rsidRPr="000C349E">
        <w:rPr>
          <w:sz w:val="28"/>
          <w:szCs w:val="28"/>
        </w:rPr>
        <w:t>los intereses</w:t>
      </w:r>
      <w:r w:rsidR="00DA688A" w:rsidRPr="000C349E">
        <w:rPr>
          <w:sz w:val="28"/>
          <w:szCs w:val="28"/>
        </w:rPr>
        <w:t xml:space="preserve"> de uno o varios sujetos con el </w:t>
      </w:r>
      <w:r w:rsidR="00097C37" w:rsidRPr="000C349E">
        <w:rPr>
          <w:sz w:val="28"/>
          <w:szCs w:val="28"/>
        </w:rPr>
        <w:t>propósito</w:t>
      </w:r>
      <w:r w:rsidR="00DA688A" w:rsidRPr="000C349E">
        <w:rPr>
          <w:sz w:val="28"/>
          <w:szCs w:val="28"/>
        </w:rPr>
        <w:t xml:space="preserve"> de </w:t>
      </w:r>
      <w:r w:rsidR="00DA688A" w:rsidRPr="000C349E">
        <w:rPr>
          <w:sz w:val="28"/>
          <w:szCs w:val="28"/>
          <w:shd w:val="clear" w:color="auto" w:fill="FFFFFF"/>
        </w:rPr>
        <w:t xml:space="preserve">beneficiar </w:t>
      </w:r>
      <w:r w:rsidR="00097C37" w:rsidRPr="000C349E">
        <w:rPr>
          <w:sz w:val="28"/>
          <w:szCs w:val="28"/>
          <w:shd w:val="clear" w:color="auto" w:fill="FFFFFF"/>
        </w:rPr>
        <w:t xml:space="preserve">a </w:t>
      </w:r>
      <w:r w:rsidR="002D451F" w:rsidRPr="000C349E">
        <w:rPr>
          <w:sz w:val="28"/>
          <w:szCs w:val="28"/>
          <w:shd w:val="clear" w:color="auto" w:fill="FFFFFF"/>
        </w:rPr>
        <w:t xml:space="preserve">otros, en especial, a </w:t>
      </w:r>
      <w:r w:rsidR="00097C37" w:rsidRPr="000C349E">
        <w:rPr>
          <w:sz w:val="28"/>
          <w:szCs w:val="28"/>
          <w:shd w:val="clear" w:color="auto" w:fill="FFFFFF"/>
        </w:rPr>
        <w:t>quienes se encuentra</w:t>
      </w:r>
      <w:r w:rsidR="00DA688A" w:rsidRPr="000C349E">
        <w:rPr>
          <w:sz w:val="28"/>
          <w:szCs w:val="28"/>
          <w:shd w:val="clear" w:color="auto" w:fill="FFFFFF"/>
        </w:rPr>
        <w:t xml:space="preserve">n en una condición de </w:t>
      </w:r>
      <w:r w:rsidR="00097C37" w:rsidRPr="000C349E">
        <w:rPr>
          <w:sz w:val="28"/>
          <w:szCs w:val="28"/>
          <w:shd w:val="clear" w:color="auto" w:fill="FFFFFF"/>
        </w:rPr>
        <w:t>vulnerabilidad</w:t>
      </w:r>
      <w:r w:rsidR="00097C37" w:rsidRPr="000C349E">
        <w:rPr>
          <w:rStyle w:val="Refdenotaalpie"/>
          <w:sz w:val="28"/>
          <w:szCs w:val="28"/>
          <w:shd w:val="clear" w:color="auto" w:fill="FFFFFF"/>
        </w:rPr>
        <w:footnoteReference w:id="64"/>
      </w:r>
      <w:r w:rsidR="00DA688A" w:rsidRPr="000C349E">
        <w:rPr>
          <w:sz w:val="28"/>
          <w:szCs w:val="28"/>
          <w:shd w:val="clear" w:color="auto" w:fill="FFFFFF"/>
        </w:rPr>
        <w:t>.</w:t>
      </w:r>
      <w:r w:rsidR="00DA688A" w:rsidRPr="000C349E">
        <w:rPr>
          <w:sz w:val="28"/>
          <w:szCs w:val="28"/>
        </w:rPr>
        <w:t xml:space="preserve"> </w:t>
      </w:r>
    </w:p>
    <w:p w:rsidR="005A33FF" w:rsidRPr="000C349E" w:rsidRDefault="005A33FF" w:rsidP="000C349E">
      <w:pPr>
        <w:jc w:val="both"/>
        <w:rPr>
          <w:sz w:val="28"/>
          <w:szCs w:val="28"/>
        </w:rPr>
      </w:pPr>
    </w:p>
    <w:p w:rsidR="00DA688A" w:rsidRPr="000C349E" w:rsidRDefault="00DA688A" w:rsidP="000C349E">
      <w:pPr>
        <w:jc w:val="both"/>
        <w:rPr>
          <w:sz w:val="28"/>
          <w:szCs w:val="28"/>
        </w:rPr>
      </w:pPr>
      <w:r w:rsidRPr="000C349E">
        <w:rPr>
          <w:sz w:val="28"/>
          <w:szCs w:val="28"/>
        </w:rPr>
        <w:t xml:space="preserve">5.4. </w:t>
      </w:r>
      <w:r w:rsidR="00DA2CBF" w:rsidRPr="000C349E">
        <w:rPr>
          <w:sz w:val="28"/>
          <w:szCs w:val="28"/>
        </w:rPr>
        <w:t>Adicionalmente</w:t>
      </w:r>
      <w:r w:rsidRPr="000C349E">
        <w:rPr>
          <w:sz w:val="28"/>
          <w:szCs w:val="28"/>
        </w:rPr>
        <w:t xml:space="preserve">, la Corte ha entendido que </w:t>
      </w:r>
      <w:r w:rsidRPr="000C349E">
        <w:rPr>
          <w:i/>
          <w:sz w:val="28"/>
          <w:szCs w:val="28"/>
        </w:rPr>
        <w:t>“los deberes que se desprenden del principio de la solidaridad son considerablemente más exigentes, urgentes y relevantes cuando se trata de asistir o salvaguardar los derechos de aquellas personas que por su condición económica, física o mental, se encuentran en circunstancias de debilidad manifiesta”</w:t>
      </w:r>
      <w:r w:rsidRPr="000C349E">
        <w:rPr>
          <w:rStyle w:val="Refdenotaalpie"/>
          <w:sz w:val="28"/>
          <w:szCs w:val="28"/>
        </w:rPr>
        <w:footnoteReference w:id="65"/>
      </w:r>
      <w:r w:rsidRPr="000C349E">
        <w:rPr>
          <w:sz w:val="28"/>
          <w:szCs w:val="28"/>
        </w:rPr>
        <w:t>.</w:t>
      </w:r>
    </w:p>
    <w:p w:rsidR="005A33FF" w:rsidRPr="000C349E" w:rsidRDefault="005A33FF" w:rsidP="000C349E">
      <w:pPr>
        <w:jc w:val="both"/>
        <w:rPr>
          <w:sz w:val="28"/>
          <w:szCs w:val="28"/>
        </w:rPr>
      </w:pPr>
    </w:p>
    <w:p w:rsidR="00CE05C7" w:rsidRPr="000C349E" w:rsidRDefault="002D451F" w:rsidP="000C349E">
      <w:pPr>
        <w:jc w:val="both"/>
        <w:rPr>
          <w:sz w:val="28"/>
          <w:szCs w:val="28"/>
        </w:rPr>
      </w:pPr>
      <w:r w:rsidRPr="000C349E">
        <w:rPr>
          <w:sz w:val="28"/>
          <w:szCs w:val="28"/>
        </w:rPr>
        <w:t xml:space="preserve">5.5. </w:t>
      </w:r>
      <w:r w:rsidR="00B87E70" w:rsidRPr="000C349E">
        <w:rPr>
          <w:sz w:val="28"/>
          <w:szCs w:val="28"/>
        </w:rPr>
        <w:t>Así las cosas</w:t>
      </w:r>
      <w:r w:rsidRPr="000C349E">
        <w:rPr>
          <w:sz w:val="28"/>
          <w:szCs w:val="28"/>
        </w:rPr>
        <w:t>,</w:t>
      </w:r>
      <w:r w:rsidR="00B87E70" w:rsidRPr="000C349E">
        <w:rPr>
          <w:sz w:val="28"/>
          <w:szCs w:val="28"/>
        </w:rPr>
        <w:t xml:space="preserve"> el principio de solidaridad elimina la idea de una dependencia absoluta de la persona y de la comunidad respecto del Estado, en tanto que</w:t>
      </w:r>
      <w:r w:rsidR="00CE05C7" w:rsidRPr="000C349E">
        <w:rPr>
          <w:sz w:val="28"/>
          <w:szCs w:val="28"/>
        </w:rPr>
        <w:t xml:space="preserve"> bajo su imperio</w:t>
      </w:r>
      <w:r w:rsidR="00B87E70" w:rsidRPr="000C349E">
        <w:rPr>
          <w:sz w:val="28"/>
          <w:szCs w:val="28"/>
        </w:rPr>
        <w:t xml:space="preserve"> </w:t>
      </w:r>
      <w:r w:rsidR="00CE05C7" w:rsidRPr="000C349E">
        <w:rPr>
          <w:sz w:val="28"/>
          <w:szCs w:val="28"/>
        </w:rPr>
        <w:t>se reconoce que este no es e</w:t>
      </w:r>
      <w:r w:rsidR="00B87E70" w:rsidRPr="000C349E">
        <w:rPr>
          <w:sz w:val="28"/>
          <w:szCs w:val="28"/>
        </w:rPr>
        <w:t xml:space="preserve">l único responsable de alcanzar los fines sociales, sino que </w:t>
      </w:r>
      <w:r w:rsidR="00CE05C7" w:rsidRPr="000C349E">
        <w:rPr>
          <w:sz w:val="28"/>
          <w:szCs w:val="28"/>
        </w:rPr>
        <w:t xml:space="preserve">en </w:t>
      </w:r>
      <w:r w:rsidR="00B87E70" w:rsidRPr="000C349E">
        <w:rPr>
          <w:sz w:val="28"/>
          <w:szCs w:val="28"/>
        </w:rPr>
        <w:t>tal objetivo</w:t>
      </w:r>
      <w:r w:rsidR="00CE05C7" w:rsidRPr="000C349E">
        <w:rPr>
          <w:sz w:val="28"/>
          <w:szCs w:val="28"/>
        </w:rPr>
        <w:t xml:space="preserve"> también se encuentran comprometidos </w:t>
      </w:r>
      <w:r w:rsidR="00B87E70" w:rsidRPr="000C349E">
        <w:rPr>
          <w:sz w:val="28"/>
          <w:szCs w:val="28"/>
        </w:rPr>
        <w:t xml:space="preserve">los particulares. </w:t>
      </w:r>
      <w:r w:rsidR="00065FC3" w:rsidRPr="000C349E">
        <w:rPr>
          <w:sz w:val="28"/>
          <w:szCs w:val="28"/>
        </w:rPr>
        <w:t>Específicamente</w:t>
      </w:r>
      <w:r w:rsidR="00CE05C7" w:rsidRPr="000C349E">
        <w:rPr>
          <w:sz w:val="28"/>
          <w:szCs w:val="28"/>
        </w:rPr>
        <w:t xml:space="preserve">, en virtud de dicho axioma, la Sala Plena de este Tribunal ha sostenido que: </w:t>
      </w:r>
    </w:p>
    <w:p w:rsidR="00CE05C7" w:rsidRPr="000C349E" w:rsidRDefault="00CE05C7" w:rsidP="000C349E">
      <w:pPr>
        <w:jc w:val="both"/>
        <w:rPr>
          <w:sz w:val="28"/>
          <w:szCs w:val="28"/>
        </w:rPr>
      </w:pPr>
    </w:p>
    <w:p w:rsidR="00CE05C7" w:rsidRPr="000C349E" w:rsidRDefault="00CE05C7" w:rsidP="000C349E">
      <w:pPr>
        <w:ind w:left="227" w:right="170"/>
        <w:jc w:val="both"/>
        <w:rPr>
          <w:i/>
          <w:sz w:val="28"/>
          <w:szCs w:val="28"/>
        </w:rPr>
      </w:pPr>
      <w:r w:rsidRPr="000C349E">
        <w:rPr>
          <w:i/>
          <w:sz w:val="28"/>
          <w:szCs w:val="28"/>
        </w:rPr>
        <w:t>“(…) al Estado le corresponde garantizar unas condiciones mínimas de vida digna a todas las personas, y para ello debe prestar asistencia y protección a quienes se encuentren en circunstancias de inferioridad, bien de manera indirecta, a través de la inversión en el gasto social, o bien de manera directa, adoptando medidas en favor de aquellas personas que por razones económicas, físicas o mentales, se encuentren en circunstancias de debilidad manifiesta. Es claro que el Estado no tiene el carácter de benefactor, del cual dependan las personas, pues su función no se concreta en la caridad, sino en la promoción de las capacidades de los individuos, con el objeto de que cada quien pueda lograr, por sí mismo, la satisfacción de sus propias aspiraciones. Pero, el deber de solidaridad no se limita al Estado: corresponde también a los particulares, de quienes dicho deber es exigible en los términos de la ley, y de manera excepcional, sin mediación legislativa, cuando su desconocimiento comporta la violación de un derecho fundamental. Entre los particulares, dicho deber se ubica en forma primigenia en la familia, dentro de la cual cada miembro es obligado y beneficiario recíprocamente, atendiendo razones de equidad”</w:t>
      </w:r>
      <w:r w:rsidRPr="000C349E">
        <w:rPr>
          <w:rStyle w:val="Refdenotaalpie"/>
          <w:sz w:val="28"/>
          <w:szCs w:val="28"/>
        </w:rPr>
        <w:footnoteReference w:id="66"/>
      </w:r>
      <w:r w:rsidRPr="000C349E">
        <w:rPr>
          <w:i/>
          <w:sz w:val="28"/>
          <w:szCs w:val="28"/>
        </w:rPr>
        <w:t>.</w:t>
      </w:r>
    </w:p>
    <w:p w:rsidR="00DA688A" w:rsidRPr="000C349E" w:rsidRDefault="00DA688A" w:rsidP="000C349E">
      <w:pPr>
        <w:jc w:val="both"/>
        <w:rPr>
          <w:sz w:val="28"/>
          <w:szCs w:val="28"/>
        </w:rPr>
      </w:pPr>
    </w:p>
    <w:p w:rsidR="00260480" w:rsidRPr="000C349E" w:rsidRDefault="00CE05C7" w:rsidP="000C349E">
      <w:pPr>
        <w:pStyle w:val="Textoindependiente"/>
        <w:spacing w:line="240" w:lineRule="auto"/>
        <w:ind w:right="0"/>
        <w:rPr>
          <w:i/>
          <w:szCs w:val="28"/>
        </w:rPr>
      </w:pPr>
      <w:r w:rsidRPr="000C349E">
        <w:rPr>
          <w:szCs w:val="28"/>
        </w:rPr>
        <w:t xml:space="preserve">5.6. </w:t>
      </w:r>
      <w:r w:rsidR="00260480" w:rsidRPr="000C349E">
        <w:rPr>
          <w:szCs w:val="28"/>
        </w:rPr>
        <w:t xml:space="preserve">En relación con </w:t>
      </w:r>
      <w:r w:rsidR="00065FC3" w:rsidRPr="000C349E">
        <w:rPr>
          <w:szCs w:val="28"/>
        </w:rPr>
        <w:t>el último punto</w:t>
      </w:r>
      <w:r w:rsidR="00260480" w:rsidRPr="000C349E">
        <w:rPr>
          <w:szCs w:val="28"/>
        </w:rPr>
        <w:t xml:space="preserve">, esta Corporación ha tomado nota de que la familia es la encargada de </w:t>
      </w:r>
      <w:r w:rsidR="00B2337A" w:rsidRPr="000C349E">
        <w:rPr>
          <w:szCs w:val="28"/>
        </w:rPr>
        <w:t>proporcionar</w:t>
      </w:r>
      <w:r w:rsidR="00260480" w:rsidRPr="000C349E">
        <w:rPr>
          <w:szCs w:val="28"/>
        </w:rPr>
        <w:t xml:space="preserve"> a sus miembros más cercanos la atención que necesiten, sin perjuicio del deber constitucional que obliga al Estado a </w:t>
      </w:r>
      <w:r w:rsidR="00B2337A" w:rsidRPr="000C349E">
        <w:rPr>
          <w:szCs w:val="28"/>
        </w:rPr>
        <w:t>salvaguardar</w:t>
      </w:r>
      <w:r w:rsidR="00260480" w:rsidRPr="000C349E">
        <w:rPr>
          <w:szCs w:val="28"/>
        </w:rPr>
        <w:t xml:space="preserve"> los derechos fundamentales de los asociados</w:t>
      </w:r>
      <w:r w:rsidR="00B2337A" w:rsidRPr="000C349E">
        <w:rPr>
          <w:rStyle w:val="Refdenotaalpie"/>
          <w:szCs w:val="28"/>
        </w:rPr>
        <w:footnoteReference w:id="67"/>
      </w:r>
      <w:r w:rsidR="00260480" w:rsidRPr="000C349E">
        <w:rPr>
          <w:szCs w:val="28"/>
        </w:rPr>
        <w:t xml:space="preserve">. </w:t>
      </w:r>
      <w:r w:rsidR="00065FC3" w:rsidRPr="000C349E">
        <w:rPr>
          <w:szCs w:val="28"/>
        </w:rPr>
        <w:t>En esta línea argumentativa</w:t>
      </w:r>
      <w:r w:rsidR="00260480" w:rsidRPr="000C349E">
        <w:rPr>
          <w:szCs w:val="28"/>
        </w:rPr>
        <w:t>, este Tribunal ha</w:t>
      </w:r>
      <w:r w:rsidR="00C038C6" w:rsidRPr="000C349E">
        <w:rPr>
          <w:szCs w:val="28"/>
        </w:rPr>
        <w:t xml:space="preserve"> dejado constancia de que</w:t>
      </w:r>
      <w:r w:rsidR="00260480" w:rsidRPr="000C349E">
        <w:rPr>
          <w:szCs w:val="28"/>
        </w:rPr>
        <w:t>:</w:t>
      </w:r>
      <w:r w:rsidR="00260480" w:rsidRPr="000C349E">
        <w:rPr>
          <w:i/>
          <w:szCs w:val="28"/>
        </w:rPr>
        <w:t xml:space="preserve"> </w:t>
      </w:r>
    </w:p>
    <w:p w:rsidR="00260480" w:rsidRPr="000C349E" w:rsidRDefault="00260480" w:rsidP="000C349E">
      <w:pPr>
        <w:ind w:right="-91"/>
        <w:jc w:val="both"/>
        <w:rPr>
          <w:i/>
          <w:sz w:val="28"/>
          <w:szCs w:val="28"/>
        </w:rPr>
      </w:pPr>
    </w:p>
    <w:p w:rsidR="00260480" w:rsidRPr="000C349E" w:rsidRDefault="00260480" w:rsidP="000C349E">
      <w:pPr>
        <w:ind w:left="227" w:right="227"/>
        <w:jc w:val="both"/>
        <w:rPr>
          <w:i/>
          <w:sz w:val="28"/>
          <w:szCs w:val="28"/>
        </w:rPr>
      </w:pPr>
      <w:r w:rsidRPr="000C349E">
        <w:rPr>
          <w:i/>
          <w:sz w:val="28"/>
          <w:szCs w:val="28"/>
        </w:rPr>
        <w:t>“La sociedad colombiana, fiel a sus ancestrales tradiciones religiosas, sitúa inicialmente en la familia las relaciones de solidaridad. Esta realidad sociológica, en cierto modo ref</w:t>
      </w:r>
      <w:r w:rsidR="00650A15" w:rsidRPr="000C349E">
        <w:rPr>
          <w:i/>
          <w:sz w:val="28"/>
          <w:szCs w:val="28"/>
        </w:rPr>
        <w:t>lejada en la expresión popular ‘</w:t>
      </w:r>
      <w:r w:rsidRPr="000C349E">
        <w:rPr>
          <w:i/>
          <w:sz w:val="28"/>
          <w:szCs w:val="28"/>
        </w:rPr>
        <w:t>l</w:t>
      </w:r>
      <w:r w:rsidR="00650A15" w:rsidRPr="000C349E">
        <w:rPr>
          <w:i/>
          <w:sz w:val="28"/>
          <w:szCs w:val="28"/>
        </w:rPr>
        <w:t>a solidaridad comienza por casa’</w:t>
      </w:r>
      <w:r w:rsidRPr="000C349E">
        <w:rPr>
          <w:i/>
          <w:sz w:val="28"/>
          <w:szCs w:val="28"/>
        </w:rPr>
        <w:t>, tiene respaldo normativo en el valor dado a la familia como núcleo fundamental (CP. art. 42) e institución básica de la sociedad (CP. art. 5). En este orden de ideas, se justifica exigir a la persona que acuda a sus familiares más cercanos en búsqueda de asistencia o protección antes de hacerlo ante el Estado, salvo que exista un derecho legalmente reconocido a la persona y a cargo de éste, o peligren otros derechos constitucionales fundamentales que ameriten una intervención inmediata d</w:t>
      </w:r>
      <w:r w:rsidR="00C038C6" w:rsidRPr="000C349E">
        <w:rPr>
          <w:i/>
          <w:sz w:val="28"/>
          <w:szCs w:val="28"/>
        </w:rPr>
        <w:t>e las autoridades (CP art. 13)”</w:t>
      </w:r>
      <w:r w:rsidRPr="000C349E">
        <w:rPr>
          <w:sz w:val="28"/>
          <w:szCs w:val="28"/>
          <w:vertAlign w:val="superscript"/>
        </w:rPr>
        <w:footnoteReference w:id="68"/>
      </w:r>
      <w:r w:rsidR="00C038C6" w:rsidRPr="000C349E">
        <w:rPr>
          <w:sz w:val="28"/>
          <w:szCs w:val="28"/>
        </w:rPr>
        <w:t>.</w:t>
      </w:r>
    </w:p>
    <w:p w:rsidR="00C038C6" w:rsidRPr="000C349E" w:rsidRDefault="00C038C6" w:rsidP="000C349E">
      <w:pPr>
        <w:ind w:right="227"/>
        <w:jc w:val="both"/>
        <w:rPr>
          <w:i/>
          <w:sz w:val="28"/>
          <w:szCs w:val="28"/>
        </w:rPr>
      </w:pPr>
    </w:p>
    <w:p w:rsidR="002C2AF5" w:rsidRPr="000C349E" w:rsidRDefault="00C038C6" w:rsidP="000C349E">
      <w:pPr>
        <w:jc w:val="both"/>
        <w:rPr>
          <w:sz w:val="28"/>
          <w:szCs w:val="28"/>
          <w:lang w:val="es-CO"/>
        </w:rPr>
      </w:pPr>
      <w:r w:rsidRPr="000C349E">
        <w:rPr>
          <w:sz w:val="28"/>
          <w:szCs w:val="28"/>
        </w:rPr>
        <w:t xml:space="preserve">5.7. </w:t>
      </w:r>
      <w:r w:rsidR="008C6188" w:rsidRPr="000C349E">
        <w:rPr>
          <w:sz w:val="28"/>
          <w:szCs w:val="28"/>
        </w:rPr>
        <w:t xml:space="preserve">En </w:t>
      </w:r>
      <w:r w:rsidR="00DA2CBF" w:rsidRPr="000C349E">
        <w:rPr>
          <w:sz w:val="28"/>
          <w:szCs w:val="28"/>
        </w:rPr>
        <w:t>tal</w:t>
      </w:r>
      <w:r w:rsidR="008C6188" w:rsidRPr="000C349E">
        <w:rPr>
          <w:sz w:val="28"/>
          <w:szCs w:val="28"/>
        </w:rPr>
        <w:t xml:space="preserve"> contexto, a partir de lo dispuesto en el artículo 49 de la Carta Política, </w:t>
      </w:r>
      <w:r w:rsidR="008C6188" w:rsidRPr="000C349E">
        <w:rPr>
          <w:sz w:val="28"/>
          <w:szCs w:val="28"/>
          <w:lang w:val="es-CO"/>
        </w:rPr>
        <w:t>la Corte Constitucional ha reiterado que bajo la permanente asistencia del Estado, la responsabilidad de proteger y garantizar el derecho a la salud</w:t>
      </w:r>
      <w:r w:rsidR="00737E9F" w:rsidRPr="000C349E">
        <w:rPr>
          <w:sz w:val="28"/>
          <w:szCs w:val="28"/>
          <w:lang w:val="es-CO"/>
        </w:rPr>
        <w:t xml:space="preserve"> de una persona que no se encuentra en la posibilidad de hacerlo por sí misma,</w:t>
      </w:r>
      <w:r w:rsidR="008C6188" w:rsidRPr="000C349E">
        <w:rPr>
          <w:sz w:val="28"/>
          <w:szCs w:val="28"/>
          <w:lang w:val="es-CO"/>
        </w:rPr>
        <w:t xml:space="preserve"> recae principalmente en </w:t>
      </w:r>
      <w:r w:rsidR="00737E9F" w:rsidRPr="000C349E">
        <w:rPr>
          <w:sz w:val="28"/>
          <w:szCs w:val="28"/>
          <w:lang w:val="es-CO"/>
        </w:rPr>
        <w:t>su</w:t>
      </w:r>
      <w:r w:rsidR="008C6188" w:rsidRPr="000C349E">
        <w:rPr>
          <w:sz w:val="28"/>
          <w:szCs w:val="28"/>
          <w:lang w:val="es-CO"/>
        </w:rPr>
        <w:t xml:space="preserve"> familia y subsidiariamente en la sociedad</w:t>
      </w:r>
      <w:r w:rsidR="008C6188" w:rsidRPr="000C349E">
        <w:rPr>
          <w:sz w:val="28"/>
          <w:szCs w:val="28"/>
          <w:vertAlign w:val="superscript"/>
          <w:lang w:val="es-CO"/>
        </w:rPr>
        <w:footnoteReference w:id="69"/>
      </w:r>
      <w:r w:rsidR="008C6188" w:rsidRPr="000C349E">
        <w:rPr>
          <w:sz w:val="28"/>
          <w:szCs w:val="28"/>
          <w:lang w:val="es-CO"/>
        </w:rPr>
        <w:t>. En efecto</w:t>
      </w:r>
      <w:r w:rsidR="00E51A05" w:rsidRPr="000C349E">
        <w:rPr>
          <w:sz w:val="28"/>
          <w:szCs w:val="28"/>
          <w:lang w:val="es-CO"/>
        </w:rPr>
        <w:t>, en la Sentencia T-098 de 2016</w:t>
      </w:r>
      <w:r w:rsidR="00E51A05" w:rsidRPr="000C349E">
        <w:rPr>
          <w:rStyle w:val="Refdenotaalpie"/>
          <w:sz w:val="28"/>
          <w:szCs w:val="28"/>
          <w:lang w:val="es-CO"/>
        </w:rPr>
        <w:footnoteReference w:id="70"/>
      </w:r>
      <w:r w:rsidR="00E51A05" w:rsidRPr="000C349E">
        <w:rPr>
          <w:sz w:val="28"/>
          <w:szCs w:val="28"/>
          <w:lang w:val="es-CO"/>
        </w:rPr>
        <w:t xml:space="preserve">, esta Corporación expresó: </w:t>
      </w:r>
    </w:p>
    <w:p w:rsidR="002C2AF5" w:rsidRPr="000C349E" w:rsidRDefault="002C2AF5" w:rsidP="000C349E">
      <w:pPr>
        <w:jc w:val="both"/>
        <w:rPr>
          <w:sz w:val="28"/>
          <w:szCs w:val="28"/>
          <w:lang w:val="es-CO"/>
        </w:rPr>
      </w:pPr>
    </w:p>
    <w:p w:rsidR="008C6188" w:rsidRPr="000C349E" w:rsidRDefault="002C2AF5" w:rsidP="000C349E">
      <w:pPr>
        <w:ind w:left="227" w:right="227"/>
        <w:jc w:val="both"/>
        <w:rPr>
          <w:sz w:val="28"/>
          <w:szCs w:val="28"/>
        </w:rPr>
      </w:pPr>
      <w:r w:rsidRPr="000C349E">
        <w:rPr>
          <w:i/>
          <w:sz w:val="28"/>
          <w:szCs w:val="28"/>
          <w:lang w:val="es-CO"/>
        </w:rPr>
        <w:t>“E</w:t>
      </w:r>
      <w:r w:rsidR="008C6188" w:rsidRPr="000C349E">
        <w:rPr>
          <w:i/>
          <w:sz w:val="28"/>
          <w:szCs w:val="28"/>
          <w:lang w:val="es-CO"/>
        </w:rPr>
        <w:t xml:space="preserve">l vínculo familiar se encuentra unido por diferentes lazos de afecto, y se espera que de manera espontánea, sus miembros lleven a cabo </w:t>
      </w:r>
      <w:r w:rsidR="008C6188" w:rsidRPr="000C349E">
        <w:rPr>
          <w:i/>
          <w:iCs/>
          <w:sz w:val="28"/>
          <w:szCs w:val="28"/>
          <w:lang w:val="es-CO"/>
        </w:rPr>
        <w:t>actuaciones solidarias que contribuyan al desarrollo del tratamiento, colaboren en la asistencia a las consultas y a las terapias, supervisen el consumo de los medicamentos, estimulen emocionalmente al paciente y favorezcan su estabilidad y bienestar</w:t>
      </w:r>
      <w:r w:rsidR="008C6188" w:rsidRPr="000C349E">
        <w:rPr>
          <w:i/>
          <w:sz w:val="28"/>
          <w:szCs w:val="28"/>
          <w:vertAlign w:val="superscript"/>
          <w:lang w:val="es-CO"/>
        </w:rPr>
        <w:footnoteReference w:id="71"/>
      </w:r>
      <w:r w:rsidR="008C6188" w:rsidRPr="000C349E">
        <w:rPr>
          <w:i/>
          <w:iCs/>
          <w:sz w:val="28"/>
          <w:szCs w:val="28"/>
          <w:lang w:val="es-CO"/>
        </w:rPr>
        <w:t>; de manera que la familia juega un papel primordial para la atención y el cuidado requerido por un paciente, cualquiera que sea el tratamiento</w:t>
      </w:r>
      <w:r w:rsidRPr="000C349E">
        <w:rPr>
          <w:i/>
          <w:iCs/>
          <w:sz w:val="28"/>
          <w:szCs w:val="28"/>
          <w:lang w:val="es-CO"/>
        </w:rPr>
        <w:t>”</w:t>
      </w:r>
      <w:r w:rsidR="008C6188" w:rsidRPr="000C349E">
        <w:rPr>
          <w:sz w:val="28"/>
          <w:szCs w:val="28"/>
          <w:lang w:val="es-CO"/>
        </w:rPr>
        <w:t>.</w:t>
      </w:r>
    </w:p>
    <w:p w:rsidR="008C6188" w:rsidRPr="000C349E" w:rsidRDefault="008C6188" w:rsidP="000C349E">
      <w:pPr>
        <w:jc w:val="both"/>
        <w:rPr>
          <w:sz w:val="28"/>
          <w:szCs w:val="28"/>
          <w:lang w:val="es-CO"/>
        </w:rPr>
      </w:pPr>
    </w:p>
    <w:p w:rsidR="00E51A05" w:rsidRPr="000C349E" w:rsidRDefault="00E51A05" w:rsidP="000C349E">
      <w:pPr>
        <w:jc w:val="both"/>
        <w:rPr>
          <w:i/>
          <w:sz w:val="28"/>
          <w:szCs w:val="28"/>
          <w:lang w:val="es-CO"/>
        </w:rPr>
      </w:pPr>
      <w:r w:rsidRPr="000C349E">
        <w:rPr>
          <w:sz w:val="28"/>
          <w:szCs w:val="28"/>
          <w:lang w:val="es-CO"/>
        </w:rPr>
        <w:t xml:space="preserve">5.8. Con todo, en la misma providencia, se aclaró que </w:t>
      </w:r>
      <w:r w:rsidRPr="000C349E">
        <w:rPr>
          <w:i/>
          <w:sz w:val="28"/>
          <w:szCs w:val="28"/>
          <w:lang w:val="es-CO"/>
        </w:rPr>
        <w:t xml:space="preserve">“lo anterior no excluye </w:t>
      </w:r>
      <w:r w:rsidRPr="000C349E">
        <w:rPr>
          <w:i/>
          <w:iCs/>
          <w:sz w:val="28"/>
          <w:szCs w:val="28"/>
          <w:lang w:val="es-CO"/>
        </w:rPr>
        <w:t xml:space="preserve">las responsabilidades a cargo de las entidades que conforman el </w:t>
      </w:r>
      <w:r w:rsidRPr="000C349E">
        <w:rPr>
          <w:i/>
          <w:sz w:val="28"/>
          <w:szCs w:val="28"/>
          <w:lang w:val="es-CO"/>
        </w:rPr>
        <w:t xml:space="preserve">Sistema General de Seguridad Social en Salud </w:t>
      </w:r>
      <w:r w:rsidRPr="000C349E">
        <w:rPr>
          <w:i/>
          <w:iCs/>
          <w:sz w:val="28"/>
          <w:szCs w:val="28"/>
          <w:lang w:val="es-CO"/>
        </w:rPr>
        <w:t>puesto que, aun cuando la familia debe asumir la responsabilidad por el enfermo, son las entidades prestadoras de salud las que tienen a su cargo el servicio público de salud y la obligación de prestar los servicios médicos asistenciales que sus afiliados requieran”.</w:t>
      </w:r>
    </w:p>
    <w:p w:rsidR="00DA2CBF" w:rsidRPr="000C349E" w:rsidRDefault="00DA2CBF" w:rsidP="000C349E">
      <w:pPr>
        <w:tabs>
          <w:tab w:val="left" w:pos="0"/>
          <w:tab w:val="left" w:pos="426"/>
        </w:tabs>
        <w:contextualSpacing/>
        <w:jc w:val="both"/>
        <w:rPr>
          <w:sz w:val="28"/>
          <w:szCs w:val="28"/>
          <w:lang w:val="es-CO"/>
        </w:rPr>
      </w:pPr>
    </w:p>
    <w:p w:rsidR="002C2AF5" w:rsidRPr="000C349E" w:rsidRDefault="00E51A05" w:rsidP="000C349E">
      <w:pPr>
        <w:tabs>
          <w:tab w:val="left" w:pos="0"/>
          <w:tab w:val="left" w:pos="426"/>
        </w:tabs>
        <w:contextualSpacing/>
        <w:jc w:val="both"/>
        <w:rPr>
          <w:sz w:val="28"/>
          <w:szCs w:val="28"/>
          <w:lang w:val="es-CO"/>
        </w:rPr>
      </w:pPr>
      <w:r w:rsidRPr="000C349E">
        <w:rPr>
          <w:sz w:val="28"/>
          <w:szCs w:val="28"/>
          <w:lang w:val="es-CO"/>
        </w:rPr>
        <w:t xml:space="preserve">5.9. </w:t>
      </w:r>
      <w:r w:rsidR="00DA2CBF" w:rsidRPr="000C349E">
        <w:rPr>
          <w:sz w:val="28"/>
          <w:szCs w:val="28"/>
          <w:lang w:val="es-CO"/>
        </w:rPr>
        <w:t>Así pues</w:t>
      </w:r>
      <w:r w:rsidR="002C2AF5" w:rsidRPr="000C349E">
        <w:rPr>
          <w:sz w:val="28"/>
          <w:szCs w:val="28"/>
          <w:lang w:val="es-CO"/>
        </w:rPr>
        <w:t xml:space="preserve">, </w:t>
      </w:r>
      <w:r w:rsidR="002D3780" w:rsidRPr="000C349E">
        <w:rPr>
          <w:sz w:val="28"/>
          <w:szCs w:val="28"/>
          <w:lang w:val="es-CO"/>
        </w:rPr>
        <w:t xml:space="preserve">por ministerio </w:t>
      </w:r>
      <w:r w:rsidR="00DA2CBF" w:rsidRPr="000C349E">
        <w:rPr>
          <w:sz w:val="28"/>
          <w:szCs w:val="28"/>
          <w:lang w:val="es-CO"/>
        </w:rPr>
        <w:t xml:space="preserve">del principio de solidaridad, </w:t>
      </w:r>
      <w:r w:rsidR="002C2AF5" w:rsidRPr="000C349E">
        <w:rPr>
          <w:sz w:val="28"/>
          <w:szCs w:val="28"/>
          <w:lang w:val="es-CO"/>
        </w:rPr>
        <w:t>la familia es la primera institución que debe salvaguardar, proteger y propender</w:t>
      </w:r>
      <w:r w:rsidR="00DA2CBF" w:rsidRPr="000C349E">
        <w:rPr>
          <w:sz w:val="28"/>
          <w:szCs w:val="28"/>
          <w:lang w:val="es-CO"/>
        </w:rPr>
        <w:t xml:space="preserve"> por el bienestar del paciente, </w:t>
      </w:r>
      <w:r w:rsidR="002C2AF5" w:rsidRPr="000C349E">
        <w:rPr>
          <w:sz w:val="28"/>
          <w:szCs w:val="28"/>
          <w:lang w:val="es-CO"/>
        </w:rPr>
        <w:t xml:space="preserve">sin que ello implique </w:t>
      </w:r>
      <w:r w:rsidR="00DA2CBF" w:rsidRPr="000C349E">
        <w:rPr>
          <w:sz w:val="28"/>
          <w:szCs w:val="28"/>
          <w:lang w:val="es-CO"/>
        </w:rPr>
        <w:t>desconocer</w:t>
      </w:r>
      <w:r w:rsidR="002C2AF5" w:rsidRPr="000C349E">
        <w:rPr>
          <w:sz w:val="28"/>
          <w:szCs w:val="28"/>
          <w:lang w:val="es-CO"/>
        </w:rPr>
        <w:t xml:space="preserve"> la responsabilidad </w:t>
      </w:r>
      <w:r w:rsidRPr="000C349E">
        <w:rPr>
          <w:sz w:val="28"/>
          <w:szCs w:val="28"/>
          <w:lang w:val="es-CO"/>
        </w:rPr>
        <w:t xml:space="preserve">concurrente </w:t>
      </w:r>
      <w:r w:rsidR="002C2AF5" w:rsidRPr="000C349E">
        <w:rPr>
          <w:sz w:val="28"/>
          <w:szCs w:val="28"/>
          <w:lang w:val="es-CO"/>
        </w:rPr>
        <w:t xml:space="preserve">de la sociedad y del Estado en </w:t>
      </w:r>
      <w:r w:rsidRPr="000C349E">
        <w:rPr>
          <w:sz w:val="28"/>
          <w:szCs w:val="28"/>
          <w:lang w:val="es-CO"/>
        </w:rPr>
        <w:t>su</w:t>
      </w:r>
      <w:r w:rsidR="002C2AF5" w:rsidRPr="000C349E">
        <w:rPr>
          <w:sz w:val="28"/>
          <w:szCs w:val="28"/>
          <w:lang w:val="es-CO"/>
        </w:rPr>
        <w:t xml:space="preserve"> recuperac</w:t>
      </w:r>
      <w:r w:rsidRPr="000C349E">
        <w:rPr>
          <w:sz w:val="28"/>
          <w:szCs w:val="28"/>
          <w:lang w:val="es-CO"/>
        </w:rPr>
        <w:t xml:space="preserve">ión y </w:t>
      </w:r>
      <w:r w:rsidR="002C2AF5" w:rsidRPr="000C349E">
        <w:rPr>
          <w:sz w:val="28"/>
          <w:szCs w:val="28"/>
          <w:lang w:val="es-CO"/>
        </w:rPr>
        <w:t>cuidado</w:t>
      </w:r>
      <w:r w:rsidR="00DA2CBF" w:rsidRPr="000C349E">
        <w:rPr>
          <w:sz w:val="28"/>
          <w:szCs w:val="28"/>
          <w:lang w:val="es-CO"/>
        </w:rPr>
        <w:t>, en los</w:t>
      </w:r>
      <w:r w:rsidR="00CC73B0" w:rsidRPr="000C349E">
        <w:rPr>
          <w:sz w:val="28"/>
          <w:szCs w:val="28"/>
          <w:lang w:val="es-CO"/>
        </w:rPr>
        <w:t xml:space="preserve"> que la garantía de acceso </w:t>
      </w:r>
      <w:r w:rsidR="00DA2CBF" w:rsidRPr="000C349E">
        <w:rPr>
          <w:sz w:val="28"/>
          <w:szCs w:val="28"/>
          <w:lang w:val="es-CO"/>
        </w:rPr>
        <w:t>integral a</w:t>
      </w:r>
      <w:r w:rsidR="00CC73B0" w:rsidRPr="000C349E">
        <w:rPr>
          <w:sz w:val="28"/>
          <w:szCs w:val="28"/>
          <w:lang w:val="es-CO"/>
        </w:rPr>
        <w:t>l Sistema General de Seguridad Social en Salud cumple un rol fundamental</w:t>
      </w:r>
      <w:r w:rsidR="00550BE3" w:rsidRPr="000C349E">
        <w:rPr>
          <w:rStyle w:val="Refdenotaalpie"/>
          <w:sz w:val="28"/>
          <w:szCs w:val="28"/>
          <w:lang w:val="es-CO"/>
        </w:rPr>
        <w:footnoteReference w:id="72"/>
      </w:r>
      <w:r w:rsidR="002C2AF5" w:rsidRPr="000C349E">
        <w:rPr>
          <w:sz w:val="28"/>
          <w:szCs w:val="28"/>
          <w:lang w:val="es-CO"/>
        </w:rPr>
        <w:t xml:space="preserve">. </w:t>
      </w:r>
    </w:p>
    <w:p w:rsidR="00E51A05" w:rsidRPr="000C349E" w:rsidRDefault="00E51A05" w:rsidP="000C349E">
      <w:pPr>
        <w:tabs>
          <w:tab w:val="left" w:pos="0"/>
          <w:tab w:val="left" w:pos="426"/>
        </w:tabs>
        <w:contextualSpacing/>
        <w:jc w:val="both"/>
        <w:rPr>
          <w:sz w:val="28"/>
          <w:szCs w:val="28"/>
          <w:lang w:val="es-CO"/>
        </w:rPr>
      </w:pPr>
    </w:p>
    <w:p w:rsidR="00E51A05" w:rsidRPr="000C349E" w:rsidRDefault="00E51A05" w:rsidP="000C349E">
      <w:pPr>
        <w:tabs>
          <w:tab w:val="left" w:pos="0"/>
          <w:tab w:val="left" w:pos="426"/>
        </w:tabs>
        <w:contextualSpacing/>
        <w:jc w:val="both"/>
        <w:rPr>
          <w:sz w:val="28"/>
          <w:szCs w:val="28"/>
          <w:lang w:val="es-CO"/>
        </w:rPr>
      </w:pPr>
      <w:r w:rsidRPr="000C349E">
        <w:rPr>
          <w:sz w:val="28"/>
          <w:szCs w:val="28"/>
          <w:lang w:val="es-CO"/>
        </w:rPr>
        <w:t xml:space="preserve">5.10. Ahora bien, </w:t>
      </w:r>
      <w:r w:rsidR="00CC73B0" w:rsidRPr="000C349E">
        <w:rPr>
          <w:sz w:val="28"/>
          <w:szCs w:val="28"/>
          <w:lang w:val="es-CO"/>
        </w:rPr>
        <w:t>cuando una</w:t>
      </w:r>
      <w:r w:rsidR="00820DD5" w:rsidRPr="000C349E">
        <w:rPr>
          <w:sz w:val="28"/>
          <w:szCs w:val="28"/>
          <w:lang w:val="es-CO"/>
        </w:rPr>
        <w:t xml:space="preserve"> persona </w:t>
      </w:r>
      <w:r w:rsidR="005C543F" w:rsidRPr="000C349E">
        <w:rPr>
          <w:sz w:val="28"/>
          <w:szCs w:val="28"/>
          <w:lang w:val="es-CO"/>
        </w:rPr>
        <w:t>se encuentra</w:t>
      </w:r>
      <w:r w:rsidR="008B46DC" w:rsidRPr="000C349E">
        <w:rPr>
          <w:sz w:val="28"/>
          <w:szCs w:val="28"/>
          <w:lang w:val="es-CO"/>
        </w:rPr>
        <w:t xml:space="preserve"> </w:t>
      </w:r>
      <w:r w:rsidR="004570DB" w:rsidRPr="000C349E">
        <w:rPr>
          <w:sz w:val="28"/>
          <w:szCs w:val="28"/>
          <w:lang w:val="es-CO"/>
        </w:rPr>
        <w:t xml:space="preserve">en </w:t>
      </w:r>
      <w:r w:rsidR="008B46DC" w:rsidRPr="000C349E">
        <w:rPr>
          <w:sz w:val="28"/>
          <w:szCs w:val="28"/>
          <w:lang w:val="es-CO"/>
        </w:rPr>
        <w:t xml:space="preserve">un </w:t>
      </w:r>
      <w:r w:rsidR="00F33E67" w:rsidRPr="000C349E">
        <w:rPr>
          <w:sz w:val="28"/>
          <w:szCs w:val="28"/>
          <w:lang w:val="es-CO"/>
        </w:rPr>
        <w:t>estado de necesidad</w:t>
      </w:r>
      <w:r w:rsidR="008B46DC" w:rsidRPr="000C349E">
        <w:rPr>
          <w:sz w:val="28"/>
          <w:szCs w:val="28"/>
          <w:lang w:val="es-CO"/>
        </w:rPr>
        <w:t xml:space="preserve"> o en una situación de vulnerabilidad</w:t>
      </w:r>
      <w:r w:rsidR="00F33E67" w:rsidRPr="000C349E">
        <w:rPr>
          <w:sz w:val="28"/>
          <w:szCs w:val="28"/>
          <w:lang w:val="es-CO"/>
        </w:rPr>
        <w:t xml:space="preserve"> </w:t>
      </w:r>
      <w:r w:rsidR="005F12AC" w:rsidRPr="000C349E">
        <w:rPr>
          <w:sz w:val="28"/>
          <w:szCs w:val="28"/>
          <w:lang w:val="es-CO"/>
        </w:rPr>
        <w:t>originada en</w:t>
      </w:r>
      <w:r w:rsidR="008B46DC" w:rsidRPr="000C349E">
        <w:rPr>
          <w:sz w:val="28"/>
          <w:szCs w:val="28"/>
          <w:lang w:val="es-CO"/>
        </w:rPr>
        <w:t xml:space="preserve"> su condición de salud</w:t>
      </w:r>
      <w:r w:rsidR="00820DD5" w:rsidRPr="000C349E">
        <w:rPr>
          <w:sz w:val="28"/>
          <w:szCs w:val="28"/>
          <w:lang w:val="es-CO"/>
        </w:rPr>
        <w:t xml:space="preserve"> y sus familiares </w:t>
      </w:r>
      <w:r w:rsidR="008E6F2C" w:rsidRPr="000C349E">
        <w:rPr>
          <w:sz w:val="28"/>
          <w:szCs w:val="28"/>
          <w:lang w:val="es-CO"/>
        </w:rPr>
        <w:t>omite</w:t>
      </w:r>
      <w:r w:rsidR="005C543F" w:rsidRPr="000C349E">
        <w:rPr>
          <w:sz w:val="28"/>
          <w:szCs w:val="28"/>
          <w:lang w:val="es-CO"/>
        </w:rPr>
        <w:t>n</w:t>
      </w:r>
      <w:r w:rsidR="000B720A" w:rsidRPr="000C349E">
        <w:rPr>
          <w:sz w:val="28"/>
          <w:szCs w:val="28"/>
          <w:lang w:val="es-CO"/>
        </w:rPr>
        <w:t xml:space="preserve"> injustificadamente prestarle </w:t>
      </w:r>
      <w:r w:rsidR="00F33E67" w:rsidRPr="000C349E">
        <w:rPr>
          <w:sz w:val="28"/>
          <w:szCs w:val="28"/>
          <w:lang w:val="es-CO"/>
        </w:rPr>
        <w:t xml:space="preserve">su </w:t>
      </w:r>
      <w:r w:rsidR="000B720A" w:rsidRPr="000C349E">
        <w:rPr>
          <w:sz w:val="28"/>
          <w:szCs w:val="28"/>
          <w:lang w:val="es-CO"/>
        </w:rPr>
        <w:t>apoyo</w:t>
      </w:r>
      <w:r w:rsidR="00F33E67" w:rsidRPr="000C349E">
        <w:rPr>
          <w:sz w:val="28"/>
          <w:szCs w:val="28"/>
          <w:lang w:val="es-CO"/>
        </w:rPr>
        <w:t xml:space="preserve"> </w:t>
      </w:r>
      <w:r w:rsidR="000B720A" w:rsidRPr="000C349E">
        <w:rPr>
          <w:sz w:val="28"/>
          <w:szCs w:val="28"/>
          <w:lang w:val="es-CO"/>
        </w:rPr>
        <w:t>y, con ello, afecta</w:t>
      </w:r>
      <w:r w:rsidR="005C543F" w:rsidRPr="000C349E">
        <w:rPr>
          <w:sz w:val="28"/>
          <w:szCs w:val="28"/>
          <w:lang w:val="es-CO"/>
        </w:rPr>
        <w:t>n</w:t>
      </w:r>
      <w:r w:rsidR="000B720A" w:rsidRPr="000C349E">
        <w:rPr>
          <w:sz w:val="28"/>
          <w:szCs w:val="28"/>
          <w:lang w:val="es-CO"/>
        </w:rPr>
        <w:t xml:space="preserve"> gravemente sus </w:t>
      </w:r>
      <w:r w:rsidR="00F33E67" w:rsidRPr="000C349E">
        <w:rPr>
          <w:sz w:val="28"/>
          <w:szCs w:val="28"/>
          <w:lang w:val="es-CO"/>
        </w:rPr>
        <w:t xml:space="preserve">prerrogativas </w:t>
      </w:r>
      <w:r w:rsidR="005C543F" w:rsidRPr="000C349E">
        <w:rPr>
          <w:sz w:val="28"/>
          <w:szCs w:val="28"/>
          <w:lang w:val="es-CO"/>
        </w:rPr>
        <w:t>fundamentales, el derecho positivo establece un conjunto de mecanismos para hacer efectivas las</w:t>
      </w:r>
      <w:r w:rsidR="000B720A" w:rsidRPr="000C349E">
        <w:rPr>
          <w:sz w:val="28"/>
          <w:szCs w:val="28"/>
          <w:lang w:val="es-CO"/>
        </w:rPr>
        <w:t xml:space="preserve"> obligaciones </w:t>
      </w:r>
      <w:r w:rsidR="005C543F" w:rsidRPr="000C349E">
        <w:rPr>
          <w:sz w:val="28"/>
          <w:szCs w:val="28"/>
          <w:lang w:val="es-CO"/>
        </w:rPr>
        <w:t xml:space="preserve">de los parientes </w:t>
      </w:r>
      <w:r w:rsidR="005F12AC" w:rsidRPr="000C349E">
        <w:rPr>
          <w:sz w:val="28"/>
          <w:szCs w:val="28"/>
          <w:lang w:val="es-CO"/>
        </w:rPr>
        <w:t>derivadas</w:t>
      </w:r>
      <w:r w:rsidR="00820DD5" w:rsidRPr="000C349E">
        <w:rPr>
          <w:sz w:val="28"/>
          <w:szCs w:val="28"/>
          <w:lang w:val="es-CO"/>
        </w:rPr>
        <w:t xml:space="preserve"> </w:t>
      </w:r>
      <w:r w:rsidR="005F12AC" w:rsidRPr="000C349E">
        <w:rPr>
          <w:sz w:val="28"/>
          <w:szCs w:val="28"/>
          <w:lang w:val="es-CO"/>
        </w:rPr>
        <w:t>d</w:t>
      </w:r>
      <w:r w:rsidR="000B720A" w:rsidRPr="000C349E">
        <w:rPr>
          <w:sz w:val="28"/>
          <w:szCs w:val="28"/>
          <w:lang w:val="es-CO"/>
        </w:rPr>
        <w:t xml:space="preserve">el principio de solidaridad. </w:t>
      </w:r>
    </w:p>
    <w:p w:rsidR="000B720A" w:rsidRPr="000C349E" w:rsidRDefault="000B720A" w:rsidP="000C349E">
      <w:pPr>
        <w:tabs>
          <w:tab w:val="left" w:pos="0"/>
          <w:tab w:val="left" w:pos="426"/>
        </w:tabs>
        <w:contextualSpacing/>
        <w:jc w:val="both"/>
        <w:rPr>
          <w:sz w:val="28"/>
          <w:szCs w:val="28"/>
          <w:lang w:val="es-CO"/>
        </w:rPr>
      </w:pPr>
    </w:p>
    <w:p w:rsidR="003E5E21" w:rsidRPr="000C349E" w:rsidRDefault="005C543F" w:rsidP="000C349E">
      <w:pPr>
        <w:tabs>
          <w:tab w:val="left" w:pos="0"/>
          <w:tab w:val="left" w:pos="426"/>
        </w:tabs>
        <w:contextualSpacing/>
        <w:jc w:val="both"/>
        <w:rPr>
          <w:sz w:val="28"/>
          <w:szCs w:val="28"/>
          <w:lang w:val="es-CO"/>
        </w:rPr>
      </w:pPr>
      <w:r w:rsidRPr="000C349E">
        <w:rPr>
          <w:sz w:val="28"/>
          <w:szCs w:val="28"/>
          <w:lang w:val="es-CO"/>
        </w:rPr>
        <w:t xml:space="preserve">5.11. </w:t>
      </w:r>
      <w:r w:rsidR="006E6A62" w:rsidRPr="000C349E">
        <w:rPr>
          <w:sz w:val="28"/>
          <w:szCs w:val="28"/>
          <w:lang w:val="es-CO"/>
        </w:rPr>
        <w:t>Para ilustrar</w:t>
      </w:r>
      <w:r w:rsidRPr="000C349E">
        <w:rPr>
          <w:sz w:val="28"/>
          <w:szCs w:val="28"/>
          <w:lang w:val="es-CO"/>
        </w:rPr>
        <w:t>,</w:t>
      </w:r>
      <w:r w:rsidR="00550BE3" w:rsidRPr="000C349E">
        <w:rPr>
          <w:sz w:val="28"/>
          <w:szCs w:val="28"/>
          <w:lang w:val="es-CO"/>
        </w:rPr>
        <w:t xml:space="preserve"> </w:t>
      </w:r>
      <w:r w:rsidR="003E5E21" w:rsidRPr="000C349E">
        <w:rPr>
          <w:sz w:val="28"/>
          <w:szCs w:val="28"/>
          <w:lang w:val="es-CO"/>
        </w:rPr>
        <w:t xml:space="preserve">teniendo en cuenta que </w:t>
      </w:r>
      <w:r w:rsidR="005F431D" w:rsidRPr="000C349E">
        <w:rPr>
          <w:sz w:val="28"/>
          <w:szCs w:val="28"/>
          <w:lang w:val="es-CO"/>
        </w:rPr>
        <w:t xml:space="preserve">constituye una especie de violencia intrafamiliar </w:t>
      </w:r>
      <w:r w:rsidR="001B1643" w:rsidRPr="000C349E">
        <w:rPr>
          <w:sz w:val="28"/>
          <w:szCs w:val="28"/>
          <w:lang w:val="es-CO"/>
        </w:rPr>
        <w:t xml:space="preserve">el abandono </w:t>
      </w:r>
      <w:r w:rsidR="005F431D" w:rsidRPr="000C349E">
        <w:rPr>
          <w:sz w:val="28"/>
          <w:szCs w:val="28"/>
          <w:lang w:val="es-CO"/>
        </w:rPr>
        <w:t xml:space="preserve">de un </w:t>
      </w:r>
      <w:r w:rsidR="001B1643" w:rsidRPr="000C349E">
        <w:rPr>
          <w:sz w:val="28"/>
          <w:szCs w:val="28"/>
          <w:lang w:val="es-CO"/>
        </w:rPr>
        <w:t>pariente cercano que se encuentra en situación de vulnerabilidad en razón de su estado de salud</w:t>
      </w:r>
      <w:r w:rsidR="005F431D" w:rsidRPr="000C349E">
        <w:rPr>
          <w:sz w:val="28"/>
          <w:szCs w:val="28"/>
          <w:lang w:val="es-CO"/>
        </w:rPr>
        <w:t>, de conformidad con la Ley 294 de 1996</w:t>
      </w:r>
      <w:r w:rsidR="00550BE3" w:rsidRPr="000C349E">
        <w:rPr>
          <w:rStyle w:val="Refdenotaalpie"/>
          <w:sz w:val="28"/>
          <w:szCs w:val="28"/>
          <w:lang w:val="es-CO"/>
        </w:rPr>
        <w:footnoteReference w:id="73"/>
      </w:r>
      <w:r w:rsidR="005F431D" w:rsidRPr="000C349E">
        <w:rPr>
          <w:sz w:val="28"/>
          <w:szCs w:val="28"/>
          <w:lang w:val="es-CO"/>
        </w:rPr>
        <w:t xml:space="preserve">, </w:t>
      </w:r>
      <w:r w:rsidR="00060F7E" w:rsidRPr="000C349E">
        <w:rPr>
          <w:sz w:val="28"/>
          <w:szCs w:val="28"/>
          <w:lang w:val="es-CO"/>
        </w:rPr>
        <w:t>tal</w:t>
      </w:r>
      <w:r w:rsidR="00AE238D" w:rsidRPr="000C349E">
        <w:rPr>
          <w:sz w:val="28"/>
          <w:szCs w:val="28"/>
          <w:lang w:val="es-CO"/>
        </w:rPr>
        <w:t xml:space="preserve"> situación puede ponerse a consideración del comisario </w:t>
      </w:r>
      <w:r w:rsidR="005F431D" w:rsidRPr="000C349E">
        <w:rPr>
          <w:sz w:val="28"/>
          <w:szCs w:val="28"/>
          <w:lang w:val="es-CO"/>
        </w:rPr>
        <w:t>de familia</w:t>
      </w:r>
      <w:r w:rsidR="00AE238D" w:rsidRPr="000C349E">
        <w:rPr>
          <w:sz w:val="28"/>
          <w:szCs w:val="28"/>
          <w:lang w:val="es-CO"/>
        </w:rPr>
        <w:t xml:space="preserve"> de la localidad de la víctima con el fin de </w:t>
      </w:r>
      <w:r w:rsidR="005F431D" w:rsidRPr="000C349E">
        <w:rPr>
          <w:sz w:val="28"/>
          <w:szCs w:val="28"/>
          <w:lang w:val="es-CO"/>
        </w:rPr>
        <w:t xml:space="preserve">que adopte </w:t>
      </w:r>
      <w:r w:rsidR="005F431D" w:rsidRPr="000C349E">
        <w:rPr>
          <w:i/>
          <w:sz w:val="28"/>
          <w:szCs w:val="28"/>
          <w:lang w:val="es-CO"/>
        </w:rPr>
        <w:t>“una medida de protección inmediata que ponga fin a la violencia, maltrato o agresión o evite que esta se realice cuando fuere inminente”</w:t>
      </w:r>
      <w:r w:rsidR="00550BE3" w:rsidRPr="000C349E">
        <w:rPr>
          <w:rStyle w:val="Refdenotaalpie"/>
          <w:sz w:val="28"/>
          <w:szCs w:val="28"/>
          <w:lang w:val="es-CO"/>
        </w:rPr>
        <w:footnoteReference w:id="74"/>
      </w:r>
      <w:r w:rsidR="005F431D" w:rsidRPr="000C349E">
        <w:rPr>
          <w:sz w:val="28"/>
          <w:szCs w:val="28"/>
          <w:lang w:val="es-CO"/>
        </w:rPr>
        <w:t>.</w:t>
      </w:r>
      <w:r w:rsidR="00C431D3" w:rsidRPr="000C349E">
        <w:rPr>
          <w:sz w:val="28"/>
          <w:szCs w:val="28"/>
          <w:lang w:val="es-CO"/>
        </w:rPr>
        <w:t xml:space="preserve"> </w:t>
      </w:r>
    </w:p>
    <w:p w:rsidR="003E5E21" w:rsidRPr="000C349E" w:rsidRDefault="003E5E21" w:rsidP="000C349E">
      <w:pPr>
        <w:tabs>
          <w:tab w:val="left" w:pos="0"/>
          <w:tab w:val="left" w:pos="426"/>
        </w:tabs>
        <w:contextualSpacing/>
        <w:jc w:val="both"/>
        <w:rPr>
          <w:sz w:val="28"/>
          <w:szCs w:val="28"/>
        </w:rPr>
      </w:pPr>
    </w:p>
    <w:p w:rsidR="000640FF" w:rsidRPr="000C349E" w:rsidRDefault="00F865E2" w:rsidP="000C349E">
      <w:pPr>
        <w:tabs>
          <w:tab w:val="left" w:pos="0"/>
          <w:tab w:val="left" w:pos="426"/>
        </w:tabs>
        <w:contextualSpacing/>
        <w:jc w:val="both"/>
        <w:rPr>
          <w:sz w:val="28"/>
          <w:szCs w:val="28"/>
          <w:lang w:val="es-CO"/>
        </w:rPr>
      </w:pPr>
      <w:r w:rsidRPr="000C349E">
        <w:rPr>
          <w:sz w:val="28"/>
          <w:szCs w:val="28"/>
          <w:lang w:val="es-CO"/>
        </w:rPr>
        <w:t>5.12</w:t>
      </w:r>
      <w:r w:rsidR="000640FF" w:rsidRPr="000C349E">
        <w:rPr>
          <w:sz w:val="28"/>
          <w:szCs w:val="28"/>
          <w:lang w:val="es-CO"/>
        </w:rPr>
        <w:t xml:space="preserve">. </w:t>
      </w:r>
      <w:r w:rsidR="006E6A62" w:rsidRPr="000C349E">
        <w:rPr>
          <w:sz w:val="28"/>
          <w:szCs w:val="28"/>
          <w:lang w:val="es-CO"/>
        </w:rPr>
        <w:t>Sobre el particular</w:t>
      </w:r>
      <w:r w:rsidR="000640FF" w:rsidRPr="000C349E">
        <w:rPr>
          <w:sz w:val="28"/>
          <w:szCs w:val="28"/>
          <w:lang w:val="es-CO"/>
        </w:rPr>
        <w:t xml:space="preserve">, debe tomarse nota de que </w:t>
      </w:r>
      <w:r w:rsidR="006409EC" w:rsidRPr="000C349E">
        <w:rPr>
          <w:sz w:val="28"/>
          <w:szCs w:val="28"/>
          <w:lang w:val="es-CO"/>
        </w:rPr>
        <w:t xml:space="preserve">en las actuaciones adelantadas para enfrentar la </w:t>
      </w:r>
      <w:r w:rsidR="000640FF" w:rsidRPr="000C349E">
        <w:rPr>
          <w:sz w:val="28"/>
          <w:szCs w:val="28"/>
          <w:lang w:val="es-CO"/>
        </w:rPr>
        <w:t>violencia intrafamiliar</w:t>
      </w:r>
      <w:r w:rsidR="008E6F2C" w:rsidRPr="000C349E">
        <w:rPr>
          <w:sz w:val="28"/>
          <w:szCs w:val="28"/>
          <w:lang w:val="es-CO"/>
        </w:rPr>
        <w:t xml:space="preserve">, </w:t>
      </w:r>
      <w:r w:rsidRPr="000C349E">
        <w:rPr>
          <w:sz w:val="28"/>
          <w:szCs w:val="28"/>
          <w:lang w:val="es-CO"/>
        </w:rPr>
        <w:t xml:space="preserve">el comisario de familia tiene un amplio margen de acción para </w:t>
      </w:r>
      <w:r w:rsidR="006E6A62" w:rsidRPr="000C349E">
        <w:rPr>
          <w:sz w:val="28"/>
          <w:szCs w:val="28"/>
          <w:lang w:val="es-CO"/>
        </w:rPr>
        <w:t xml:space="preserve">adoptar las medidas necesarias </w:t>
      </w:r>
      <w:r w:rsidR="008E6F2C" w:rsidRPr="000C349E">
        <w:rPr>
          <w:sz w:val="28"/>
          <w:szCs w:val="28"/>
          <w:lang w:val="es-CO"/>
        </w:rPr>
        <w:t>con el fin de</w:t>
      </w:r>
      <w:r w:rsidR="006E6A62" w:rsidRPr="000C349E">
        <w:rPr>
          <w:sz w:val="28"/>
          <w:szCs w:val="28"/>
          <w:lang w:val="es-CO"/>
        </w:rPr>
        <w:t xml:space="preserve"> </w:t>
      </w:r>
      <w:r w:rsidRPr="000C349E">
        <w:rPr>
          <w:sz w:val="28"/>
          <w:szCs w:val="28"/>
          <w:lang w:val="es-CO"/>
        </w:rPr>
        <w:t xml:space="preserve">proteger a la víctima, pues </w:t>
      </w:r>
      <w:r w:rsidR="000640FF" w:rsidRPr="000C349E">
        <w:rPr>
          <w:sz w:val="28"/>
          <w:szCs w:val="28"/>
          <w:lang w:val="es-CO"/>
        </w:rPr>
        <w:t xml:space="preserve">actúa como una autoridad de carácter </w:t>
      </w:r>
      <w:r w:rsidR="00060F7E" w:rsidRPr="000C349E">
        <w:rPr>
          <w:sz w:val="28"/>
          <w:szCs w:val="28"/>
          <w:lang w:val="es-CO"/>
        </w:rPr>
        <w:t>jurisdiccional, toda vez que, a través de la Ley 294 de 1996, el Congreso de la República lo</w:t>
      </w:r>
      <w:r w:rsidR="000640FF" w:rsidRPr="000C349E">
        <w:rPr>
          <w:sz w:val="28"/>
          <w:szCs w:val="28"/>
          <w:lang w:val="es-CO"/>
        </w:rPr>
        <w:t xml:space="preserve"> </w:t>
      </w:r>
      <w:r w:rsidR="000640FF" w:rsidRPr="000C349E">
        <w:rPr>
          <w:i/>
          <w:sz w:val="28"/>
          <w:szCs w:val="28"/>
          <w:lang w:val="es-CO"/>
        </w:rPr>
        <w:t>“equiparó, en cuanto a esas funciones, a los jueces (Cfr. artículos 11, 12 y 14), al punto de establecer que la apelación de sus determinaciones las conocería el respectivo Juez de Familia o Promiscuo de Familia (artículo 18)”</w:t>
      </w:r>
      <w:r w:rsidR="00060F7E" w:rsidRPr="000C349E">
        <w:rPr>
          <w:rStyle w:val="Refdenotaalpie"/>
          <w:sz w:val="28"/>
          <w:szCs w:val="28"/>
          <w:lang w:val="es-CO"/>
        </w:rPr>
        <w:footnoteReference w:id="75"/>
      </w:r>
      <w:r w:rsidR="000640FF" w:rsidRPr="000C349E">
        <w:rPr>
          <w:sz w:val="28"/>
          <w:szCs w:val="28"/>
          <w:lang w:val="es-CO"/>
        </w:rPr>
        <w:t>.</w:t>
      </w:r>
    </w:p>
    <w:p w:rsidR="000640FF" w:rsidRPr="000C349E" w:rsidRDefault="000640FF" w:rsidP="000C349E">
      <w:pPr>
        <w:tabs>
          <w:tab w:val="left" w:pos="0"/>
          <w:tab w:val="left" w:pos="426"/>
        </w:tabs>
        <w:contextualSpacing/>
        <w:jc w:val="both"/>
        <w:rPr>
          <w:sz w:val="28"/>
          <w:szCs w:val="28"/>
          <w:lang w:val="es-CO"/>
        </w:rPr>
      </w:pPr>
    </w:p>
    <w:p w:rsidR="00F865E2" w:rsidRPr="000C349E" w:rsidRDefault="00F865E2" w:rsidP="000C349E">
      <w:pPr>
        <w:tabs>
          <w:tab w:val="left" w:pos="0"/>
          <w:tab w:val="left" w:pos="426"/>
        </w:tabs>
        <w:contextualSpacing/>
        <w:jc w:val="both"/>
        <w:rPr>
          <w:sz w:val="28"/>
          <w:szCs w:val="28"/>
          <w:lang w:val="es-CO"/>
        </w:rPr>
      </w:pPr>
      <w:r w:rsidRPr="000C349E">
        <w:rPr>
          <w:sz w:val="28"/>
          <w:szCs w:val="28"/>
          <w:lang w:val="es-CO"/>
        </w:rPr>
        <w:t xml:space="preserve">5.13. </w:t>
      </w:r>
      <w:r w:rsidR="006E6A62" w:rsidRPr="000C349E">
        <w:rPr>
          <w:sz w:val="28"/>
          <w:szCs w:val="28"/>
          <w:lang w:val="es-CO"/>
        </w:rPr>
        <w:t>Al respecto</w:t>
      </w:r>
      <w:r w:rsidRPr="000C349E">
        <w:rPr>
          <w:sz w:val="28"/>
          <w:szCs w:val="28"/>
          <w:lang w:val="es-CO"/>
        </w:rPr>
        <w:t>, cabe resaltar que el comisario de familia está facult</w:t>
      </w:r>
      <w:r w:rsidR="006E6A62" w:rsidRPr="000C349E">
        <w:rPr>
          <w:sz w:val="28"/>
          <w:szCs w:val="28"/>
          <w:lang w:val="es-CO"/>
        </w:rPr>
        <w:t xml:space="preserve">ado, por ejemplo, </w:t>
      </w:r>
      <w:r w:rsidRPr="000C349E">
        <w:rPr>
          <w:sz w:val="28"/>
          <w:szCs w:val="28"/>
          <w:lang w:val="es-CO"/>
        </w:rPr>
        <w:t xml:space="preserve">para fijar el pago transitorio de pensiones alimentarias, ordenar el suministro de </w:t>
      </w:r>
      <w:r w:rsidR="008E6F2C" w:rsidRPr="000C349E">
        <w:rPr>
          <w:sz w:val="28"/>
          <w:szCs w:val="28"/>
          <w:lang w:val="es-CO"/>
        </w:rPr>
        <w:t xml:space="preserve">la </w:t>
      </w:r>
      <w:r w:rsidRPr="000C349E">
        <w:rPr>
          <w:sz w:val="28"/>
          <w:szCs w:val="28"/>
          <w:lang w:val="es-CO"/>
        </w:rPr>
        <w:t xml:space="preserve">orientación y </w:t>
      </w:r>
      <w:r w:rsidR="008E6F2C" w:rsidRPr="000C349E">
        <w:rPr>
          <w:sz w:val="28"/>
          <w:szCs w:val="28"/>
          <w:lang w:val="es-CO"/>
        </w:rPr>
        <w:t xml:space="preserve">la </w:t>
      </w:r>
      <w:r w:rsidRPr="000C349E">
        <w:rPr>
          <w:sz w:val="28"/>
          <w:szCs w:val="28"/>
          <w:lang w:val="es-CO"/>
        </w:rPr>
        <w:t>asesoría jurídica, médica, psicológica o psíquica que requiera la víctima, decretar acciones de atención consistentes en alojamiento, alimentación y transporte, disponer la inclusión del afectado en programas estatales, o proferir cualquier otra medida que estime pertinente</w:t>
      </w:r>
      <w:r w:rsidRPr="000C349E">
        <w:rPr>
          <w:rStyle w:val="Refdenotaalpie"/>
          <w:sz w:val="28"/>
          <w:szCs w:val="28"/>
          <w:lang w:val="es-CO"/>
        </w:rPr>
        <w:footnoteReference w:id="76"/>
      </w:r>
      <w:r w:rsidRPr="000C349E">
        <w:rPr>
          <w:sz w:val="28"/>
          <w:szCs w:val="28"/>
          <w:lang w:val="es-CO"/>
        </w:rPr>
        <w:t xml:space="preserve">. </w:t>
      </w:r>
    </w:p>
    <w:p w:rsidR="00F865E2" w:rsidRPr="000C349E" w:rsidRDefault="00F865E2" w:rsidP="000C349E">
      <w:pPr>
        <w:tabs>
          <w:tab w:val="left" w:pos="0"/>
          <w:tab w:val="left" w:pos="426"/>
        </w:tabs>
        <w:contextualSpacing/>
        <w:jc w:val="both"/>
        <w:rPr>
          <w:sz w:val="28"/>
          <w:szCs w:val="28"/>
          <w:lang w:val="es-CO"/>
        </w:rPr>
      </w:pPr>
    </w:p>
    <w:p w:rsidR="008E6F2C" w:rsidRPr="000C349E" w:rsidRDefault="00060F7E" w:rsidP="000C349E">
      <w:pPr>
        <w:tabs>
          <w:tab w:val="left" w:pos="0"/>
          <w:tab w:val="left" w:pos="426"/>
        </w:tabs>
        <w:contextualSpacing/>
        <w:jc w:val="both"/>
        <w:rPr>
          <w:sz w:val="28"/>
          <w:szCs w:val="28"/>
          <w:lang w:val="es-CO"/>
        </w:rPr>
      </w:pPr>
      <w:r w:rsidRPr="000C349E">
        <w:rPr>
          <w:sz w:val="28"/>
          <w:szCs w:val="28"/>
          <w:lang w:val="es-CO"/>
        </w:rPr>
        <w:t>5.14.</w:t>
      </w:r>
      <w:r w:rsidR="00CE5078" w:rsidRPr="000C349E">
        <w:rPr>
          <w:sz w:val="28"/>
          <w:szCs w:val="28"/>
          <w:lang w:val="es-CO"/>
        </w:rPr>
        <w:t xml:space="preserve"> A efectos de establecer la medida pertinente que debe adoptarse para superar la violencia intrafamiliar en asuntos similares al estudiado en esta ocasión, este Tribunal ha considerado</w:t>
      </w:r>
      <w:r w:rsidR="006C0FC1" w:rsidRPr="000C349E">
        <w:rPr>
          <w:sz w:val="28"/>
          <w:szCs w:val="28"/>
          <w:lang w:val="es-CO"/>
        </w:rPr>
        <w:t xml:space="preserve"> que el operador jurídico </w:t>
      </w:r>
      <w:r w:rsidR="00CE5078" w:rsidRPr="000C349E">
        <w:rPr>
          <w:sz w:val="28"/>
          <w:szCs w:val="28"/>
          <w:lang w:val="es-CO"/>
        </w:rPr>
        <w:t>competente debe</w:t>
      </w:r>
      <w:r w:rsidR="008E6F2C" w:rsidRPr="000C349E">
        <w:rPr>
          <w:sz w:val="28"/>
          <w:szCs w:val="28"/>
          <w:lang w:val="es-CO"/>
        </w:rPr>
        <w:t>:</w:t>
      </w:r>
      <w:r w:rsidR="001076DF" w:rsidRPr="000C349E">
        <w:rPr>
          <w:sz w:val="28"/>
          <w:szCs w:val="28"/>
          <w:lang w:val="es-CO"/>
        </w:rPr>
        <w:t xml:space="preserve"> </w:t>
      </w:r>
    </w:p>
    <w:p w:rsidR="008E6F2C" w:rsidRPr="000C349E" w:rsidRDefault="008E6F2C" w:rsidP="000C349E">
      <w:pPr>
        <w:tabs>
          <w:tab w:val="left" w:pos="0"/>
          <w:tab w:val="left" w:pos="426"/>
        </w:tabs>
        <w:contextualSpacing/>
        <w:jc w:val="both"/>
        <w:rPr>
          <w:sz w:val="28"/>
          <w:szCs w:val="28"/>
          <w:lang w:val="es-CO"/>
        </w:rPr>
      </w:pPr>
    </w:p>
    <w:p w:rsidR="00CE5078" w:rsidRPr="000C349E" w:rsidRDefault="00CE5078" w:rsidP="000C349E">
      <w:pPr>
        <w:tabs>
          <w:tab w:val="left" w:pos="0"/>
          <w:tab w:val="left" w:pos="426"/>
        </w:tabs>
        <w:ind w:left="227" w:right="227"/>
        <w:contextualSpacing/>
        <w:jc w:val="both"/>
        <w:rPr>
          <w:sz w:val="28"/>
          <w:szCs w:val="28"/>
          <w:lang w:val="es-CO"/>
        </w:rPr>
      </w:pPr>
      <w:r w:rsidRPr="000C349E">
        <w:rPr>
          <w:i/>
          <w:sz w:val="28"/>
          <w:szCs w:val="28"/>
          <w:lang w:val="es-CO"/>
        </w:rPr>
        <w:t>“</w:t>
      </w:r>
      <w:r w:rsidR="008E6F2C" w:rsidRPr="000C349E">
        <w:rPr>
          <w:i/>
          <w:sz w:val="28"/>
          <w:szCs w:val="28"/>
          <w:lang w:val="es-CO"/>
        </w:rPr>
        <w:t xml:space="preserve">(…) </w:t>
      </w:r>
      <w:r w:rsidRPr="000C349E">
        <w:rPr>
          <w:i/>
          <w:sz w:val="28"/>
          <w:szCs w:val="28"/>
          <w:lang w:val="es-CO"/>
        </w:rPr>
        <w:t>analizar la situación concreta del paciente, de los parientes llamados a su cuidado y de las instituciones prestadoras de los servicios de salud, para armonizar los derechos en juego y determinar si la familia cuenta con las capacidades para apoyar y cuidar al enfermo durante su recuperación, buscando evitar el innecesario e indefinido confinamiento en un hospital</w:t>
      </w:r>
      <w:r w:rsidR="00B4358A" w:rsidRPr="000C349E">
        <w:rPr>
          <w:i/>
          <w:sz w:val="28"/>
          <w:szCs w:val="28"/>
          <w:lang w:val="es-CO"/>
        </w:rPr>
        <w:t>”</w:t>
      </w:r>
      <w:r w:rsidR="008E6F2C" w:rsidRPr="000C349E">
        <w:rPr>
          <w:i/>
          <w:sz w:val="28"/>
          <w:szCs w:val="28"/>
          <w:lang w:val="es-CO"/>
        </w:rPr>
        <w:t>.</w:t>
      </w:r>
      <w:r w:rsidR="00B4358A" w:rsidRPr="000C349E">
        <w:rPr>
          <w:i/>
          <w:sz w:val="28"/>
          <w:szCs w:val="28"/>
          <w:lang w:val="es-CO"/>
        </w:rPr>
        <w:t xml:space="preserve"> </w:t>
      </w:r>
      <w:r w:rsidR="00B4358A" w:rsidRPr="000C349E">
        <w:rPr>
          <w:sz w:val="28"/>
          <w:szCs w:val="28"/>
          <w:lang w:val="es-CO"/>
        </w:rPr>
        <w:t>En concreto</w:t>
      </w:r>
      <w:r w:rsidR="00B4358A" w:rsidRPr="000C349E">
        <w:rPr>
          <w:sz w:val="28"/>
          <w:szCs w:val="28"/>
        </w:rPr>
        <w:t xml:space="preserve">, </w:t>
      </w:r>
      <w:r w:rsidR="00B4358A" w:rsidRPr="000C349E">
        <w:rPr>
          <w:i/>
          <w:sz w:val="28"/>
          <w:szCs w:val="28"/>
        </w:rPr>
        <w:t>“un</w:t>
      </w:r>
      <w:r w:rsidR="008E6F2C" w:rsidRPr="000C349E">
        <w:rPr>
          <w:i/>
          <w:sz w:val="28"/>
          <w:szCs w:val="28"/>
          <w:lang w:val="es-CO"/>
        </w:rPr>
        <w:t xml:space="preserve"> confinamiento forzoso, contrario al tratamiento recomendado por los médicos tratantes, no sólo vulneraría la dignidad y los derechos fundamentales a la libertad y al libre desarrollo de la personalidad del paciente, sino que también le impondría una carga excesiva a la entidad hospitalaria, al exigirle la prestación de un servicio que el enfermo realmente no requiere</w:t>
      </w:r>
      <w:r w:rsidRPr="000C349E">
        <w:rPr>
          <w:i/>
          <w:sz w:val="28"/>
          <w:szCs w:val="28"/>
          <w:lang w:val="es-CO"/>
        </w:rPr>
        <w:t>”</w:t>
      </w:r>
      <w:r w:rsidR="006C0FC1" w:rsidRPr="000C349E">
        <w:rPr>
          <w:rStyle w:val="Refdenotaalpie"/>
          <w:sz w:val="28"/>
          <w:szCs w:val="28"/>
          <w:lang w:val="es-CO"/>
        </w:rPr>
        <w:footnoteReference w:id="77"/>
      </w:r>
      <w:r w:rsidRPr="000C349E">
        <w:rPr>
          <w:sz w:val="28"/>
          <w:szCs w:val="28"/>
          <w:lang w:val="es-CO"/>
        </w:rPr>
        <w:t xml:space="preserve">. </w:t>
      </w:r>
    </w:p>
    <w:p w:rsidR="00CE5078" w:rsidRPr="000C349E" w:rsidRDefault="00CE5078" w:rsidP="000C349E">
      <w:pPr>
        <w:tabs>
          <w:tab w:val="left" w:pos="0"/>
          <w:tab w:val="left" w:pos="426"/>
        </w:tabs>
        <w:contextualSpacing/>
        <w:jc w:val="both"/>
        <w:rPr>
          <w:sz w:val="28"/>
          <w:szCs w:val="28"/>
          <w:lang w:val="es-CO"/>
        </w:rPr>
      </w:pPr>
    </w:p>
    <w:p w:rsidR="00060F7E" w:rsidRPr="000C349E" w:rsidRDefault="00F865E2" w:rsidP="000C349E">
      <w:pPr>
        <w:tabs>
          <w:tab w:val="left" w:pos="0"/>
          <w:tab w:val="left" w:pos="426"/>
        </w:tabs>
        <w:contextualSpacing/>
        <w:jc w:val="both"/>
        <w:rPr>
          <w:sz w:val="28"/>
          <w:szCs w:val="28"/>
          <w:lang w:val="es-CO"/>
        </w:rPr>
      </w:pPr>
      <w:r w:rsidRPr="000C349E">
        <w:rPr>
          <w:sz w:val="28"/>
          <w:szCs w:val="28"/>
          <w:lang w:val="es-CO"/>
        </w:rPr>
        <w:t xml:space="preserve">5.15. </w:t>
      </w:r>
      <w:r w:rsidR="002E6977" w:rsidRPr="000C349E">
        <w:rPr>
          <w:sz w:val="28"/>
          <w:szCs w:val="28"/>
          <w:lang w:val="es-CO"/>
        </w:rPr>
        <w:t>Por lo demás</w:t>
      </w:r>
      <w:r w:rsidR="00060F7E" w:rsidRPr="000C349E">
        <w:rPr>
          <w:sz w:val="28"/>
          <w:szCs w:val="28"/>
          <w:lang w:val="es-CO"/>
        </w:rPr>
        <w:t>, bajo el entendido de que algunas de las acciones relacionadas con el abandono de una persona en situación de debilidad por razones de salud pueden enmarcarse en conductas tipificadas como delitos en el Código Penal</w:t>
      </w:r>
      <w:r w:rsidR="002E6977" w:rsidRPr="000C349E">
        <w:rPr>
          <w:rStyle w:val="Refdenotaalpie"/>
          <w:sz w:val="28"/>
          <w:szCs w:val="28"/>
          <w:lang w:val="es-CO"/>
        </w:rPr>
        <w:footnoteReference w:id="78"/>
      </w:r>
      <w:r w:rsidR="00060F7E" w:rsidRPr="000C349E">
        <w:rPr>
          <w:sz w:val="28"/>
          <w:szCs w:val="28"/>
          <w:lang w:val="es-CO"/>
        </w:rPr>
        <w:t>, las mismas pueden ponerse en consideración de la Fiscalía General de la Nación para que proceda a determinar</w:t>
      </w:r>
      <w:r w:rsidR="001F69A1" w:rsidRPr="000C349E">
        <w:rPr>
          <w:sz w:val="28"/>
          <w:szCs w:val="28"/>
          <w:lang w:val="es-CO"/>
        </w:rPr>
        <w:t>: (i)</w:t>
      </w:r>
      <w:r w:rsidR="00060F7E" w:rsidRPr="000C349E">
        <w:rPr>
          <w:sz w:val="28"/>
          <w:szCs w:val="28"/>
          <w:lang w:val="es-CO"/>
        </w:rPr>
        <w:t xml:space="preserve"> la procedencia de </w:t>
      </w:r>
      <w:r w:rsidR="001F69A1" w:rsidRPr="000C349E">
        <w:rPr>
          <w:sz w:val="28"/>
          <w:szCs w:val="28"/>
          <w:lang w:val="es-CO"/>
        </w:rPr>
        <w:t>ejercer la acción penal</w:t>
      </w:r>
      <w:r w:rsidR="00060F7E" w:rsidRPr="000C349E">
        <w:rPr>
          <w:sz w:val="28"/>
          <w:szCs w:val="28"/>
          <w:lang w:val="es-CO"/>
        </w:rPr>
        <w:t xml:space="preserve"> </w:t>
      </w:r>
      <w:r w:rsidR="00B4358A" w:rsidRPr="000C349E">
        <w:rPr>
          <w:sz w:val="28"/>
          <w:szCs w:val="28"/>
          <w:lang w:val="es-CO"/>
        </w:rPr>
        <w:t xml:space="preserve">en contra de los responsables </w:t>
      </w:r>
      <w:r w:rsidR="00060F7E" w:rsidRPr="000C349E">
        <w:rPr>
          <w:sz w:val="28"/>
          <w:szCs w:val="28"/>
          <w:lang w:val="es-CO"/>
        </w:rPr>
        <w:t xml:space="preserve">ante los jueces </w:t>
      </w:r>
      <w:r w:rsidR="001F69A1" w:rsidRPr="000C349E">
        <w:rPr>
          <w:sz w:val="28"/>
          <w:szCs w:val="28"/>
          <w:lang w:val="es-CO"/>
        </w:rPr>
        <w:t>competentes</w:t>
      </w:r>
      <w:r w:rsidR="00060F7E" w:rsidRPr="000C349E">
        <w:rPr>
          <w:sz w:val="28"/>
          <w:szCs w:val="28"/>
          <w:lang w:val="es-CO"/>
        </w:rPr>
        <w:t xml:space="preserve">, así como </w:t>
      </w:r>
      <w:r w:rsidR="001F69A1" w:rsidRPr="000C349E">
        <w:rPr>
          <w:sz w:val="28"/>
          <w:szCs w:val="28"/>
          <w:lang w:val="es-CO"/>
        </w:rPr>
        <w:t>(ii) la necesidad de adoptar alguna medida</w:t>
      </w:r>
      <w:r w:rsidR="00060F7E" w:rsidRPr="000C349E">
        <w:rPr>
          <w:sz w:val="28"/>
          <w:szCs w:val="28"/>
          <w:lang w:val="es-CO"/>
        </w:rPr>
        <w:t xml:space="preserve"> para proteger a la víctima</w:t>
      </w:r>
      <w:r w:rsidR="002E6977" w:rsidRPr="000C349E">
        <w:rPr>
          <w:rStyle w:val="Refdenotaalpie"/>
          <w:sz w:val="28"/>
          <w:szCs w:val="28"/>
          <w:lang w:val="es-CO"/>
        </w:rPr>
        <w:footnoteReference w:id="79"/>
      </w:r>
      <w:r w:rsidR="00060F7E" w:rsidRPr="000C349E">
        <w:rPr>
          <w:sz w:val="28"/>
          <w:szCs w:val="28"/>
          <w:lang w:val="es-CO"/>
        </w:rPr>
        <w:t xml:space="preserve">. </w:t>
      </w:r>
    </w:p>
    <w:p w:rsidR="00060F7E" w:rsidRPr="000C349E" w:rsidRDefault="00060F7E" w:rsidP="000C349E">
      <w:pPr>
        <w:tabs>
          <w:tab w:val="left" w:pos="0"/>
          <w:tab w:val="left" w:pos="426"/>
        </w:tabs>
        <w:contextualSpacing/>
        <w:jc w:val="both"/>
        <w:rPr>
          <w:sz w:val="28"/>
          <w:szCs w:val="28"/>
          <w:lang w:val="es-CO"/>
        </w:rPr>
      </w:pPr>
    </w:p>
    <w:p w:rsidR="00175A5C" w:rsidRPr="000C349E" w:rsidRDefault="000B36AB" w:rsidP="000C349E">
      <w:pPr>
        <w:jc w:val="both"/>
        <w:rPr>
          <w:b/>
          <w:bCs/>
          <w:sz w:val="28"/>
          <w:szCs w:val="28"/>
        </w:rPr>
      </w:pPr>
      <w:r w:rsidRPr="000C349E">
        <w:rPr>
          <w:b/>
          <w:bCs/>
          <w:sz w:val="28"/>
          <w:szCs w:val="28"/>
        </w:rPr>
        <w:t>6. Caso concreto</w:t>
      </w:r>
    </w:p>
    <w:p w:rsidR="00175A5C" w:rsidRPr="000C349E" w:rsidRDefault="00175A5C" w:rsidP="000C349E">
      <w:pPr>
        <w:jc w:val="both"/>
        <w:rPr>
          <w:sz w:val="28"/>
          <w:szCs w:val="28"/>
        </w:rPr>
      </w:pPr>
    </w:p>
    <w:p w:rsidR="00076549" w:rsidRPr="000C349E" w:rsidRDefault="000B49D4" w:rsidP="000C349E">
      <w:pPr>
        <w:jc w:val="both"/>
        <w:rPr>
          <w:sz w:val="28"/>
          <w:szCs w:val="28"/>
          <w:lang w:val="es-CO"/>
        </w:rPr>
      </w:pPr>
      <w:r w:rsidRPr="000C349E">
        <w:rPr>
          <w:sz w:val="28"/>
          <w:szCs w:val="28"/>
          <w:lang w:val="es-CO"/>
        </w:rPr>
        <w:t>6</w:t>
      </w:r>
      <w:r w:rsidR="00076549" w:rsidRPr="000C349E">
        <w:rPr>
          <w:sz w:val="28"/>
          <w:szCs w:val="28"/>
          <w:lang w:val="es-CO"/>
        </w:rPr>
        <w:t>.1.</w:t>
      </w:r>
      <w:r w:rsidRPr="000C349E">
        <w:rPr>
          <w:sz w:val="28"/>
          <w:szCs w:val="28"/>
          <w:lang w:val="es-CO"/>
        </w:rPr>
        <w:t xml:space="preserve"> Previo al estudio de fondo del recurso de amparo de la referencia</w:t>
      </w:r>
      <w:r w:rsidR="00076549" w:rsidRPr="000C349E">
        <w:rPr>
          <w:sz w:val="28"/>
          <w:szCs w:val="28"/>
          <w:lang w:val="es-CO"/>
        </w:rPr>
        <w:t>, debe verificarse el cumplimiento de los requisitos generales de procedencia de la acción de tutela contemplados en el artículo 86 de la Carta Política y en el Decreto 2591 de 1991</w:t>
      </w:r>
      <w:r w:rsidR="00A22919" w:rsidRPr="000C349E">
        <w:rPr>
          <w:rStyle w:val="Refdenotaalpie"/>
          <w:sz w:val="28"/>
          <w:szCs w:val="28"/>
          <w:lang w:val="es-CO"/>
        </w:rPr>
        <w:footnoteReference w:id="80"/>
      </w:r>
      <w:r w:rsidR="00076549" w:rsidRPr="000C349E">
        <w:rPr>
          <w:sz w:val="28"/>
          <w:szCs w:val="28"/>
          <w:lang w:val="es-CO"/>
        </w:rPr>
        <w:t>.</w:t>
      </w:r>
    </w:p>
    <w:p w:rsidR="00076549" w:rsidRPr="000C349E" w:rsidRDefault="00076549" w:rsidP="000C349E">
      <w:pPr>
        <w:jc w:val="both"/>
        <w:rPr>
          <w:b/>
          <w:sz w:val="28"/>
          <w:szCs w:val="28"/>
        </w:rPr>
      </w:pPr>
    </w:p>
    <w:p w:rsidR="00076549" w:rsidRPr="000C349E" w:rsidRDefault="000B49D4" w:rsidP="000C349E">
      <w:pPr>
        <w:jc w:val="both"/>
        <w:rPr>
          <w:b/>
          <w:i/>
          <w:sz w:val="28"/>
          <w:szCs w:val="28"/>
        </w:rPr>
      </w:pPr>
      <w:r w:rsidRPr="000C349E">
        <w:rPr>
          <w:b/>
          <w:i/>
          <w:sz w:val="28"/>
          <w:szCs w:val="28"/>
        </w:rPr>
        <w:t xml:space="preserve">- </w:t>
      </w:r>
      <w:r w:rsidR="00076549" w:rsidRPr="000C349E">
        <w:rPr>
          <w:b/>
          <w:i/>
          <w:sz w:val="28"/>
          <w:szCs w:val="28"/>
        </w:rPr>
        <w:t>Legitimación en la causa</w:t>
      </w:r>
      <w:r w:rsidR="00B01AFA" w:rsidRPr="000C349E">
        <w:rPr>
          <w:b/>
          <w:i/>
          <w:sz w:val="28"/>
          <w:szCs w:val="28"/>
        </w:rPr>
        <w:t xml:space="preserve"> por activa</w:t>
      </w:r>
    </w:p>
    <w:p w:rsidR="00076549" w:rsidRPr="000C349E" w:rsidRDefault="00076549" w:rsidP="000C349E">
      <w:pPr>
        <w:jc w:val="both"/>
        <w:rPr>
          <w:sz w:val="28"/>
          <w:szCs w:val="28"/>
          <w:lang w:val="es-CO"/>
        </w:rPr>
      </w:pPr>
    </w:p>
    <w:p w:rsidR="00076549" w:rsidRPr="000C349E" w:rsidRDefault="000B49D4" w:rsidP="000C349E">
      <w:pPr>
        <w:jc w:val="both"/>
        <w:rPr>
          <w:bCs/>
          <w:sz w:val="28"/>
          <w:szCs w:val="28"/>
          <w:lang w:val="es-CO"/>
        </w:rPr>
      </w:pPr>
      <w:r w:rsidRPr="000C349E">
        <w:rPr>
          <w:sz w:val="28"/>
          <w:szCs w:val="28"/>
          <w:lang w:val="es-CO"/>
        </w:rPr>
        <w:t>6</w:t>
      </w:r>
      <w:r w:rsidR="00076549" w:rsidRPr="000C349E">
        <w:rPr>
          <w:sz w:val="28"/>
          <w:szCs w:val="28"/>
          <w:lang w:val="es-CO"/>
        </w:rPr>
        <w:t>.2. De conformidad con lo dispuesto en e</w:t>
      </w:r>
      <w:r w:rsidR="00076549" w:rsidRPr="000C349E">
        <w:rPr>
          <w:bCs/>
          <w:sz w:val="28"/>
          <w:szCs w:val="28"/>
          <w:lang w:val="es-CO"/>
        </w:rPr>
        <w:t>l artículo 10 del Decreto 2591 de 1991, este Tribunal ha señalado que, para efectos de la interp</w:t>
      </w:r>
      <w:r w:rsidRPr="000C349E">
        <w:rPr>
          <w:bCs/>
          <w:sz w:val="28"/>
          <w:szCs w:val="28"/>
          <w:lang w:val="es-CO"/>
        </w:rPr>
        <w:t xml:space="preserve">osición de la acción de tutela </w:t>
      </w:r>
      <w:r w:rsidR="00076549" w:rsidRPr="000C349E">
        <w:rPr>
          <w:bCs/>
          <w:i/>
          <w:sz w:val="28"/>
          <w:szCs w:val="28"/>
          <w:lang w:val="es-CO"/>
        </w:rPr>
        <w:t>“se pueden agenciar derechos ajenos, siempre y cuando quien actué en nombre de otro: (i) exprese que está obrando en dicha calidad, y (ii) demuestre que el agenciado se encuentra en imposibilidad física o mental de ejercer su propia defensa”</w:t>
      </w:r>
      <w:r w:rsidR="00076549" w:rsidRPr="000C349E">
        <w:rPr>
          <w:rStyle w:val="Refdenotaalpie"/>
          <w:rFonts w:eastAsia="SimSun"/>
          <w:bCs/>
          <w:sz w:val="28"/>
          <w:szCs w:val="28"/>
        </w:rPr>
        <w:footnoteReference w:id="81"/>
      </w:r>
      <w:r w:rsidR="00076549" w:rsidRPr="000C349E">
        <w:rPr>
          <w:bCs/>
          <w:sz w:val="28"/>
          <w:szCs w:val="28"/>
          <w:lang w:val="es-CO"/>
        </w:rPr>
        <w:t xml:space="preserve">. </w:t>
      </w:r>
    </w:p>
    <w:p w:rsidR="00076549" w:rsidRPr="000C349E" w:rsidRDefault="00076549" w:rsidP="000C349E">
      <w:pPr>
        <w:jc w:val="both"/>
        <w:rPr>
          <w:sz w:val="28"/>
          <w:szCs w:val="28"/>
        </w:rPr>
      </w:pPr>
    </w:p>
    <w:p w:rsidR="00A22919" w:rsidRPr="000C349E" w:rsidRDefault="000B49D4" w:rsidP="000C349E">
      <w:pPr>
        <w:jc w:val="both"/>
        <w:rPr>
          <w:sz w:val="28"/>
          <w:szCs w:val="28"/>
          <w:lang w:val="es-CO"/>
        </w:rPr>
      </w:pPr>
      <w:r w:rsidRPr="000C349E">
        <w:rPr>
          <w:sz w:val="28"/>
          <w:szCs w:val="28"/>
        </w:rPr>
        <w:t xml:space="preserve">6.3. </w:t>
      </w:r>
      <w:r w:rsidR="00594317" w:rsidRPr="000C349E">
        <w:rPr>
          <w:sz w:val="28"/>
          <w:szCs w:val="28"/>
          <w:lang w:val="es-CO"/>
        </w:rPr>
        <w:t>Así pues</w:t>
      </w:r>
      <w:r w:rsidR="00A22919" w:rsidRPr="000C349E">
        <w:rPr>
          <w:sz w:val="28"/>
          <w:szCs w:val="28"/>
          <w:lang w:val="es-CO"/>
        </w:rPr>
        <w:t xml:space="preserve">, la Sala estima que el requisito de legitimación en la causa por activa se encuentra satisfecho en esta oportunidad, puesto que: </w:t>
      </w:r>
    </w:p>
    <w:p w:rsidR="00A22919" w:rsidRPr="000C349E" w:rsidRDefault="00A22919" w:rsidP="000C349E">
      <w:pPr>
        <w:jc w:val="both"/>
        <w:rPr>
          <w:sz w:val="28"/>
          <w:szCs w:val="28"/>
          <w:lang w:val="es-CO"/>
        </w:rPr>
      </w:pPr>
    </w:p>
    <w:p w:rsidR="00A22919" w:rsidRPr="000C349E" w:rsidRDefault="00A22919" w:rsidP="000C349E">
      <w:pPr>
        <w:ind w:left="227" w:right="227"/>
        <w:jc w:val="both"/>
        <w:rPr>
          <w:sz w:val="28"/>
          <w:szCs w:val="28"/>
          <w:lang w:val="es-CO"/>
        </w:rPr>
      </w:pPr>
      <w:r w:rsidRPr="000C349E">
        <w:rPr>
          <w:sz w:val="28"/>
          <w:szCs w:val="28"/>
          <w:lang w:val="es-CO"/>
        </w:rPr>
        <w:t xml:space="preserve">(i) La representante legal </w:t>
      </w:r>
      <w:r w:rsidR="00364EBB" w:rsidRPr="000C349E">
        <w:rPr>
          <w:sz w:val="28"/>
          <w:szCs w:val="28"/>
          <w:lang w:val="es-CO"/>
        </w:rPr>
        <w:t xml:space="preserve">de </w:t>
      </w:r>
      <w:r w:rsidRPr="000C349E">
        <w:rPr>
          <w:sz w:val="28"/>
          <w:szCs w:val="28"/>
          <w:lang w:val="es-CO"/>
        </w:rPr>
        <w:t>Proseguir IPS Ginna Rocío García Parra manifestó expresamente que actúa como agente oficiosa de Ángel Abad Hoyos Fernández</w:t>
      </w:r>
      <w:r w:rsidRPr="000C349E">
        <w:rPr>
          <w:rStyle w:val="Refdenotaalpie"/>
          <w:rFonts w:eastAsia="SimSun"/>
          <w:sz w:val="28"/>
          <w:szCs w:val="28"/>
        </w:rPr>
        <w:footnoteReference w:id="82"/>
      </w:r>
      <w:r w:rsidRPr="000C349E">
        <w:rPr>
          <w:sz w:val="28"/>
          <w:szCs w:val="28"/>
          <w:lang w:val="es-CO"/>
        </w:rPr>
        <w:t xml:space="preserve">; y </w:t>
      </w:r>
    </w:p>
    <w:p w:rsidR="00A22919" w:rsidRPr="000C349E" w:rsidRDefault="00A22919" w:rsidP="000C349E">
      <w:pPr>
        <w:ind w:left="227" w:right="227"/>
        <w:jc w:val="both"/>
        <w:rPr>
          <w:sz w:val="28"/>
          <w:szCs w:val="28"/>
          <w:lang w:val="es-CO"/>
        </w:rPr>
      </w:pPr>
    </w:p>
    <w:p w:rsidR="000B49D4" w:rsidRPr="000C349E" w:rsidRDefault="00A22919" w:rsidP="000C349E">
      <w:pPr>
        <w:ind w:left="227" w:right="227"/>
        <w:jc w:val="both"/>
        <w:rPr>
          <w:sz w:val="28"/>
          <w:szCs w:val="28"/>
        </w:rPr>
      </w:pPr>
      <w:r w:rsidRPr="000C349E">
        <w:rPr>
          <w:sz w:val="28"/>
          <w:szCs w:val="28"/>
          <w:lang w:val="es-CO"/>
        </w:rPr>
        <w:t>(ii) Está probada la imposibilidad física de Ángel Abad Hoyos Fernández para acudir directamente ante el aparato jurisdiccional</w:t>
      </w:r>
      <w:r w:rsidR="00B01AFA" w:rsidRPr="000C349E">
        <w:rPr>
          <w:sz w:val="28"/>
          <w:szCs w:val="28"/>
          <w:lang w:val="es-CO"/>
        </w:rPr>
        <w:t xml:space="preserve"> con el propósito de salvaguardar sus intereses</w:t>
      </w:r>
      <w:r w:rsidRPr="000C349E">
        <w:rPr>
          <w:sz w:val="28"/>
          <w:szCs w:val="28"/>
          <w:lang w:val="es-CO"/>
        </w:rPr>
        <w:t>, comoquiera que se encuentra internado en Proseguir IPS en condiciones que le impiden abandonar la institución</w:t>
      </w:r>
      <w:r w:rsidR="00B01AFA" w:rsidRPr="000C349E">
        <w:rPr>
          <w:sz w:val="28"/>
          <w:szCs w:val="28"/>
          <w:lang w:val="es-CO"/>
        </w:rPr>
        <w:t xml:space="preserve"> clínica</w:t>
      </w:r>
      <w:r w:rsidRPr="000C349E">
        <w:rPr>
          <w:sz w:val="28"/>
          <w:szCs w:val="28"/>
          <w:lang w:val="es-CO"/>
        </w:rPr>
        <w:t xml:space="preserve"> sin un </w:t>
      </w:r>
      <w:r w:rsidR="00364EBB" w:rsidRPr="000C349E">
        <w:rPr>
          <w:sz w:val="28"/>
          <w:szCs w:val="28"/>
          <w:lang w:val="es-CO"/>
        </w:rPr>
        <w:t>cuidador</w:t>
      </w:r>
      <w:r w:rsidR="00B01AFA" w:rsidRPr="000C349E">
        <w:rPr>
          <w:sz w:val="28"/>
          <w:szCs w:val="28"/>
          <w:lang w:val="es-CO"/>
        </w:rPr>
        <w:t xml:space="preserve"> que le preste los apoyos que requiere para el desarrollo de las tareas cotidianas</w:t>
      </w:r>
      <w:r w:rsidR="00B4358A" w:rsidRPr="000C349E">
        <w:rPr>
          <w:sz w:val="28"/>
          <w:szCs w:val="28"/>
          <w:lang w:val="es-CO"/>
        </w:rPr>
        <w:t xml:space="preserve"> y su reincorporación a la vida social</w:t>
      </w:r>
      <w:r w:rsidR="00B01AFA" w:rsidRPr="000C349E">
        <w:rPr>
          <w:rStyle w:val="Refdenotaalpie"/>
          <w:sz w:val="28"/>
          <w:szCs w:val="28"/>
          <w:lang w:val="es-CO"/>
        </w:rPr>
        <w:footnoteReference w:id="83"/>
      </w:r>
      <w:r w:rsidRPr="000C349E">
        <w:rPr>
          <w:sz w:val="28"/>
          <w:szCs w:val="28"/>
          <w:lang w:val="es-CO"/>
        </w:rPr>
        <w:t>.</w:t>
      </w:r>
    </w:p>
    <w:p w:rsidR="000B49D4" w:rsidRPr="000C349E" w:rsidRDefault="000B49D4" w:rsidP="000C349E">
      <w:pPr>
        <w:jc w:val="both"/>
        <w:rPr>
          <w:sz w:val="28"/>
          <w:szCs w:val="28"/>
        </w:rPr>
      </w:pPr>
      <w:r w:rsidRPr="000C349E">
        <w:rPr>
          <w:sz w:val="28"/>
          <w:szCs w:val="28"/>
        </w:rPr>
        <w:t xml:space="preserve"> </w:t>
      </w:r>
    </w:p>
    <w:p w:rsidR="00B01AFA" w:rsidRPr="000C349E" w:rsidRDefault="00B01AFA" w:rsidP="000C349E">
      <w:pPr>
        <w:jc w:val="both"/>
        <w:rPr>
          <w:sz w:val="28"/>
          <w:szCs w:val="28"/>
          <w:lang w:val="es-CO"/>
        </w:rPr>
      </w:pPr>
      <w:r w:rsidRPr="000C349E">
        <w:rPr>
          <w:sz w:val="28"/>
          <w:szCs w:val="28"/>
        </w:rPr>
        <w:t xml:space="preserve">6.4. </w:t>
      </w:r>
      <w:r w:rsidR="00594317" w:rsidRPr="000C349E">
        <w:rPr>
          <w:sz w:val="28"/>
          <w:szCs w:val="28"/>
        </w:rPr>
        <w:t>En este sentido</w:t>
      </w:r>
      <w:r w:rsidRPr="000C349E">
        <w:rPr>
          <w:sz w:val="28"/>
          <w:szCs w:val="28"/>
        </w:rPr>
        <w:t xml:space="preserve">, la Corte aclara que encuentra satisfecha la legitimación en la causa por activa en el entendido de que el amparo se dirige a obtener la protección de las prerrogativas fundamentales de </w:t>
      </w:r>
      <w:r w:rsidRPr="000C349E">
        <w:rPr>
          <w:sz w:val="28"/>
          <w:szCs w:val="28"/>
          <w:lang w:val="es-CO"/>
        </w:rPr>
        <w:t xml:space="preserve">Ángel Abad Hoyos Fernández, las cuales se pretende que sean salvaguardadas mediante una orden a sus parientes para que procedan a facilitar su egreso de Proseguir IPS. </w:t>
      </w:r>
    </w:p>
    <w:p w:rsidR="00B01AFA" w:rsidRPr="000C349E" w:rsidRDefault="00B01AFA" w:rsidP="000C349E">
      <w:pPr>
        <w:jc w:val="both"/>
        <w:rPr>
          <w:sz w:val="28"/>
          <w:szCs w:val="28"/>
          <w:lang w:val="es-CO"/>
        </w:rPr>
      </w:pPr>
    </w:p>
    <w:p w:rsidR="00594317" w:rsidRPr="000C349E" w:rsidRDefault="00B01AFA" w:rsidP="000C349E">
      <w:pPr>
        <w:jc w:val="both"/>
        <w:rPr>
          <w:sz w:val="28"/>
          <w:szCs w:val="28"/>
          <w:lang w:val="es-CO"/>
        </w:rPr>
      </w:pPr>
      <w:r w:rsidRPr="000C349E">
        <w:rPr>
          <w:sz w:val="28"/>
          <w:szCs w:val="28"/>
          <w:lang w:val="es-CO"/>
        </w:rPr>
        <w:t xml:space="preserve">6.5. En consecuencia, este Tribunal llama la atención </w:t>
      </w:r>
      <w:r w:rsidR="00594317" w:rsidRPr="000C349E">
        <w:rPr>
          <w:sz w:val="28"/>
          <w:szCs w:val="28"/>
          <w:lang w:val="es-CO"/>
        </w:rPr>
        <w:t xml:space="preserve">de </w:t>
      </w:r>
      <w:r w:rsidRPr="000C349E">
        <w:rPr>
          <w:sz w:val="28"/>
          <w:szCs w:val="28"/>
          <w:lang w:val="es-CO"/>
        </w:rPr>
        <w:t>que la legitimación</w:t>
      </w:r>
      <w:r w:rsidR="00594317" w:rsidRPr="000C349E">
        <w:rPr>
          <w:sz w:val="28"/>
          <w:szCs w:val="28"/>
          <w:lang w:val="es-CO"/>
        </w:rPr>
        <w:t xml:space="preserve"> </w:t>
      </w:r>
      <w:r w:rsidR="00364EBB" w:rsidRPr="000C349E">
        <w:rPr>
          <w:sz w:val="28"/>
          <w:szCs w:val="28"/>
          <w:lang w:val="es-CO"/>
        </w:rPr>
        <w:t xml:space="preserve">por activa </w:t>
      </w:r>
      <w:r w:rsidR="00594317" w:rsidRPr="000C349E">
        <w:rPr>
          <w:sz w:val="28"/>
          <w:szCs w:val="28"/>
          <w:lang w:val="es-CO"/>
        </w:rPr>
        <w:t>no se encuentra acreditada para gestionar los intereses de Proseguir IPS, los cuales</w:t>
      </w:r>
      <w:r w:rsidR="00364EBB" w:rsidRPr="000C349E">
        <w:rPr>
          <w:sz w:val="28"/>
          <w:szCs w:val="28"/>
          <w:lang w:val="es-CO"/>
        </w:rPr>
        <w:t xml:space="preserve"> </w:t>
      </w:r>
      <w:r w:rsidR="00594317" w:rsidRPr="000C349E">
        <w:rPr>
          <w:sz w:val="28"/>
          <w:szCs w:val="28"/>
          <w:lang w:val="es-CO"/>
        </w:rPr>
        <w:t>también son puestos de presente en el amparo bajo argumentos relacionados con la carga que representa para la organización la permanencia de Ángel Abad Hoyos Fernández en sus instalaciones</w:t>
      </w:r>
      <w:r w:rsidR="00594317" w:rsidRPr="000C349E">
        <w:rPr>
          <w:rStyle w:val="Refdenotaalpie"/>
          <w:sz w:val="28"/>
          <w:szCs w:val="28"/>
          <w:lang w:val="es-CO"/>
        </w:rPr>
        <w:footnoteReference w:id="84"/>
      </w:r>
      <w:r w:rsidR="00594317" w:rsidRPr="000C349E">
        <w:rPr>
          <w:sz w:val="28"/>
          <w:szCs w:val="28"/>
          <w:lang w:val="es-CO"/>
        </w:rPr>
        <w:t xml:space="preserve">. </w:t>
      </w:r>
    </w:p>
    <w:p w:rsidR="00594317" w:rsidRPr="000C349E" w:rsidRDefault="00594317" w:rsidP="000C349E">
      <w:pPr>
        <w:jc w:val="both"/>
        <w:rPr>
          <w:sz w:val="28"/>
          <w:szCs w:val="28"/>
          <w:lang w:val="es-CO"/>
        </w:rPr>
      </w:pPr>
    </w:p>
    <w:p w:rsidR="00B01AFA" w:rsidRPr="000C349E" w:rsidRDefault="00594317" w:rsidP="000C349E">
      <w:pPr>
        <w:jc w:val="both"/>
        <w:rPr>
          <w:sz w:val="28"/>
          <w:szCs w:val="28"/>
          <w:lang w:val="es-CO"/>
        </w:rPr>
      </w:pPr>
      <w:r w:rsidRPr="000C349E">
        <w:rPr>
          <w:sz w:val="28"/>
          <w:szCs w:val="28"/>
          <w:lang w:val="es-CO"/>
        </w:rPr>
        <w:t>6.6. En efecto, si bien la situación de Ángel Abad Hoyos Fernández puede llegar a constituir una carga que no debe soportar Proseguir IPS</w:t>
      </w:r>
      <w:r w:rsidR="00A43E80" w:rsidRPr="000C349E">
        <w:rPr>
          <w:rStyle w:val="Refdenotaalpie"/>
          <w:sz w:val="28"/>
          <w:szCs w:val="28"/>
          <w:lang w:val="es-CO"/>
        </w:rPr>
        <w:footnoteReference w:id="85"/>
      </w:r>
      <w:r w:rsidRPr="000C349E">
        <w:rPr>
          <w:sz w:val="28"/>
          <w:szCs w:val="28"/>
          <w:lang w:val="es-CO"/>
        </w:rPr>
        <w:t>, lo cierto es que la institución de la agencia oficiosa en materia de tutela se dirige a garantizar los derechos del prohijado, pero no a gestionar los intereses del agente</w:t>
      </w:r>
      <w:r w:rsidR="00956AB4" w:rsidRPr="000C349E">
        <w:rPr>
          <w:rStyle w:val="Refdenotaalpie"/>
          <w:sz w:val="28"/>
          <w:szCs w:val="28"/>
          <w:lang w:val="es-CO"/>
        </w:rPr>
        <w:footnoteReference w:id="86"/>
      </w:r>
      <w:r w:rsidRPr="000C349E">
        <w:rPr>
          <w:sz w:val="28"/>
          <w:szCs w:val="28"/>
          <w:lang w:val="es-CO"/>
        </w:rPr>
        <w:t xml:space="preserve">, </w:t>
      </w:r>
      <w:r w:rsidR="00B4358A" w:rsidRPr="000C349E">
        <w:rPr>
          <w:sz w:val="28"/>
          <w:szCs w:val="28"/>
          <w:lang w:val="es-CO"/>
        </w:rPr>
        <w:t>máxime cuando</w:t>
      </w:r>
      <w:r w:rsidR="00A43E80" w:rsidRPr="000C349E">
        <w:rPr>
          <w:sz w:val="28"/>
          <w:szCs w:val="28"/>
          <w:lang w:val="es-CO"/>
        </w:rPr>
        <w:t xml:space="preserve"> los mismos</w:t>
      </w:r>
      <w:r w:rsidRPr="000C349E">
        <w:rPr>
          <w:sz w:val="28"/>
          <w:szCs w:val="28"/>
          <w:lang w:val="es-CO"/>
        </w:rPr>
        <w:t xml:space="preserve"> puede</w:t>
      </w:r>
      <w:r w:rsidR="00A43E80" w:rsidRPr="000C349E">
        <w:rPr>
          <w:sz w:val="28"/>
          <w:szCs w:val="28"/>
          <w:lang w:val="es-CO"/>
        </w:rPr>
        <w:t>n llegar a</w:t>
      </w:r>
      <w:r w:rsidRPr="000C349E">
        <w:rPr>
          <w:sz w:val="28"/>
          <w:szCs w:val="28"/>
          <w:lang w:val="es-CO"/>
        </w:rPr>
        <w:t xml:space="preserve"> entrar en conflicto y, por </w:t>
      </w:r>
      <w:r w:rsidR="00A43E80" w:rsidRPr="000C349E">
        <w:rPr>
          <w:sz w:val="28"/>
          <w:szCs w:val="28"/>
          <w:lang w:val="es-CO"/>
        </w:rPr>
        <w:t>lo tanto</w:t>
      </w:r>
      <w:r w:rsidRPr="000C349E">
        <w:rPr>
          <w:sz w:val="28"/>
          <w:szCs w:val="28"/>
          <w:lang w:val="es-CO"/>
        </w:rPr>
        <w:t xml:space="preserve">, deben procurarse a través de otro proceso. </w:t>
      </w:r>
    </w:p>
    <w:p w:rsidR="00594317" w:rsidRPr="000C349E" w:rsidRDefault="00594317" w:rsidP="000C349E">
      <w:pPr>
        <w:jc w:val="both"/>
        <w:rPr>
          <w:sz w:val="28"/>
          <w:szCs w:val="28"/>
        </w:rPr>
      </w:pPr>
    </w:p>
    <w:p w:rsidR="00A43E80" w:rsidRPr="000C349E" w:rsidRDefault="00A43E80" w:rsidP="000C349E">
      <w:pPr>
        <w:jc w:val="both"/>
        <w:rPr>
          <w:b/>
          <w:i/>
          <w:sz w:val="28"/>
          <w:szCs w:val="28"/>
        </w:rPr>
      </w:pPr>
      <w:r w:rsidRPr="000C349E">
        <w:rPr>
          <w:sz w:val="28"/>
          <w:szCs w:val="28"/>
        </w:rPr>
        <w:t xml:space="preserve">- </w:t>
      </w:r>
      <w:r w:rsidRPr="000C349E">
        <w:rPr>
          <w:b/>
          <w:i/>
          <w:sz w:val="28"/>
          <w:szCs w:val="28"/>
        </w:rPr>
        <w:t>Legitimación en la causa por pasiva</w:t>
      </w:r>
    </w:p>
    <w:p w:rsidR="00A43E80" w:rsidRPr="000C349E" w:rsidRDefault="00A43E80" w:rsidP="000C349E">
      <w:pPr>
        <w:jc w:val="both"/>
        <w:rPr>
          <w:sz w:val="28"/>
          <w:szCs w:val="28"/>
        </w:rPr>
      </w:pPr>
    </w:p>
    <w:p w:rsidR="00A43E80" w:rsidRPr="000C349E" w:rsidRDefault="00A43E80" w:rsidP="000C349E">
      <w:pPr>
        <w:jc w:val="both"/>
        <w:rPr>
          <w:sz w:val="28"/>
          <w:szCs w:val="28"/>
        </w:rPr>
      </w:pPr>
      <w:r w:rsidRPr="000C349E">
        <w:rPr>
          <w:sz w:val="28"/>
          <w:szCs w:val="28"/>
        </w:rPr>
        <w:t xml:space="preserve">6.7. </w:t>
      </w:r>
      <w:r w:rsidR="00E305C0" w:rsidRPr="000C349E">
        <w:rPr>
          <w:sz w:val="28"/>
          <w:szCs w:val="28"/>
        </w:rPr>
        <w:t xml:space="preserve">En la presente oportunidad, la agente oficiosa de </w:t>
      </w:r>
      <w:r w:rsidR="00E305C0" w:rsidRPr="000C349E">
        <w:rPr>
          <w:sz w:val="28"/>
          <w:szCs w:val="28"/>
          <w:lang w:val="es-CO"/>
        </w:rPr>
        <w:t>Ángel Abad Hoyos Fernández interpuso acción de tutela en contra de María del Pilar Jiménez Rodríguez, José Domingo</w:t>
      </w:r>
      <w:r w:rsidR="00AB4A88" w:rsidRPr="000C349E">
        <w:rPr>
          <w:sz w:val="28"/>
          <w:szCs w:val="28"/>
          <w:lang w:val="es-CO"/>
        </w:rPr>
        <w:t xml:space="preserve"> </w:t>
      </w:r>
      <w:r w:rsidR="00AB4A88" w:rsidRPr="000C349E">
        <w:rPr>
          <w:sz w:val="28"/>
          <w:szCs w:val="28"/>
        </w:rPr>
        <w:t>Martínez Rincón</w:t>
      </w:r>
      <w:r w:rsidR="00E305C0" w:rsidRPr="000C349E">
        <w:rPr>
          <w:sz w:val="28"/>
          <w:szCs w:val="28"/>
          <w:lang w:val="es-CO"/>
        </w:rPr>
        <w:t xml:space="preserve">, Jenny Mireya Rodríguez, Paula Andrea Jiménez Rodríguez e Isabella Hoyos Jiménez, pretendiendo que en su calidad de familiares </w:t>
      </w:r>
      <w:r w:rsidR="00E305C0" w:rsidRPr="000C349E">
        <w:rPr>
          <w:sz w:val="28"/>
          <w:szCs w:val="28"/>
        </w:rPr>
        <w:t>su prohijado procedan a garantizar: (i) su egreso de Proseguir IPS, y (ii) su trasladado a un lugar adecuado en el que pueda recibir los apoyos necesarios para sobrellevar las secuelas del evento cerebrovascular hemorrágico que sufrió en el año 2015.</w:t>
      </w:r>
    </w:p>
    <w:p w:rsidR="00E305C0" w:rsidRPr="000C349E" w:rsidRDefault="00E305C0" w:rsidP="000C349E">
      <w:pPr>
        <w:jc w:val="both"/>
        <w:rPr>
          <w:sz w:val="28"/>
          <w:szCs w:val="28"/>
        </w:rPr>
      </w:pPr>
    </w:p>
    <w:p w:rsidR="00E305C0" w:rsidRPr="000C349E" w:rsidRDefault="00E305C0" w:rsidP="000C349E">
      <w:pPr>
        <w:jc w:val="both"/>
        <w:rPr>
          <w:sz w:val="28"/>
          <w:szCs w:val="28"/>
        </w:rPr>
      </w:pPr>
      <w:r w:rsidRPr="000C349E">
        <w:rPr>
          <w:sz w:val="28"/>
          <w:szCs w:val="28"/>
        </w:rPr>
        <w:t xml:space="preserve">6.8. Así pues, esta Corporación evidencia que la acción de tutela se dirige contra cinco personas particulares, por lo que para determinar la satisfacción </w:t>
      </w:r>
      <w:r w:rsidR="009D2089" w:rsidRPr="000C349E">
        <w:rPr>
          <w:sz w:val="28"/>
          <w:szCs w:val="28"/>
        </w:rPr>
        <w:t>de la legitimación en la causa por pasiva deberá comprobarse la existencia de alguno de los supuestos que habilitan la procedencia del amparo en contra de privados contemplados en el artículo 42 del Decreto 2591 de 1991</w:t>
      </w:r>
      <w:r w:rsidR="00364EBB" w:rsidRPr="000C349E">
        <w:rPr>
          <w:rStyle w:val="Refdenotaalpie"/>
          <w:sz w:val="28"/>
          <w:szCs w:val="28"/>
        </w:rPr>
        <w:footnoteReference w:id="87"/>
      </w:r>
      <w:r w:rsidR="009D2089" w:rsidRPr="000C349E">
        <w:rPr>
          <w:sz w:val="28"/>
          <w:szCs w:val="28"/>
        </w:rPr>
        <w:t>.</w:t>
      </w:r>
    </w:p>
    <w:p w:rsidR="00E305C0" w:rsidRPr="000C349E" w:rsidRDefault="00E305C0" w:rsidP="000C349E">
      <w:pPr>
        <w:jc w:val="both"/>
        <w:rPr>
          <w:sz w:val="28"/>
          <w:szCs w:val="28"/>
        </w:rPr>
      </w:pPr>
    </w:p>
    <w:p w:rsidR="00851C61" w:rsidRPr="000C349E" w:rsidRDefault="00851C61" w:rsidP="000C349E">
      <w:pPr>
        <w:jc w:val="both"/>
        <w:rPr>
          <w:iCs/>
          <w:sz w:val="28"/>
          <w:szCs w:val="28"/>
        </w:rPr>
      </w:pPr>
      <w:r w:rsidRPr="000C349E">
        <w:rPr>
          <w:sz w:val="28"/>
          <w:szCs w:val="28"/>
        </w:rPr>
        <w:t xml:space="preserve">6.9. Específicamente, al tenor de la referida disposición, este Tribunal ha considerado que </w:t>
      </w:r>
      <w:r w:rsidRPr="000C349E">
        <w:rPr>
          <w:sz w:val="28"/>
          <w:szCs w:val="28"/>
          <w:shd w:val="clear" w:color="auto" w:fill="FFFFFF"/>
        </w:rPr>
        <w:t>la acción de tutela procede contra los particulares que: </w:t>
      </w:r>
      <w:r w:rsidRPr="000C349E">
        <w:rPr>
          <w:i/>
          <w:iCs/>
          <w:sz w:val="28"/>
          <w:szCs w:val="28"/>
          <w:shd w:val="clear" w:color="auto" w:fill="FFFFFF"/>
        </w:rPr>
        <w:t>“(i) estén encargados de la prestación de un servicio público, (ii) cuya conducta afecte grave o directamente el interés colectivo, o (iii) respecto de quienes el solicitante se halle en estado de subordinación o en situación de indefensión”</w:t>
      </w:r>
      <w:r w:rsidRPr="000C349E">
        <w:rPr>
          <w:rStyle w:val="Refdenotaalpie"/>
          <w:sz w:val="28"/>
          <w:szCs w:val="28"/>
          <w:shd w:val="clear" w:color="auto" w:fill="FFFFFF"/>
        </w:rPr>
        <w:footnoteReference w:id="88"/>
      </w:r>
      <w:r w:rsidRPr="000C349E">
        <w:rPr>
          <w:sz w:val="28"/>
          <w:szCs w:val="28"/>
          <w:shd w:val="clear" w:color="auto" w:fill="FFFFFF"/>
        </w:rPr>
        <w:t>.</w:t>
      </w:r>
    </w:p>
    <w:p w:rsidR="00851C61" w:rsidRPr="000C349E" w:rsidRDefault="00851C61" w:rsidP="000C349E">
      <w:pPr>
        <w:jc w:val="both"/>
        <w:rPr>
          <w:i/>
          <w:sz w:val="28"/>
          <w:szCs w:val="28"/>
        </w:rPr>
      </w:pPr>
    </w:p>
    <w:p w:rsidR="00851C61" w:rsidRPr="000C349E" w:rsidRDefault="00851C61" w:rsidP="000C349E">
      <w:pPr>
        <w:jc w:val="both"/>
        <w:rPr>
          <w:sz w:val="28"/>
          <w:szCs w:val="28"/>
          <w:shd w:val="clear" w:color="auto" w:fill="FFFFFF"/>
        </w:rPr>
      </w:pPr>
      <w:r w:rsidRPr="000C349E">
        <w:rPr>
          <w:sz w:val="28"/>
          <w:szCs w:val="28"/>
          <w:shd w:val="clear" w:color="auto" w:fill="FFFFFF"/>
        </w:rPr>
        <w:t>6.10. En relación con el estado de indefensión, esta Corte ha señalado que este alude a aquellas situaciones en las que la persona no cuenta con la posibilidad material de hacer frente a las amenazas o a las transgresiones de otra, en algunas ocasiones por la ausencia de medios de defensa y en otras porque estos resultan exiguos para resistir el agravio particular que se alega</w:t>
      </w:r>
      <w:r w:rsidRPr="000C349E">
        <w:rPr>
          <w:rStyle w:val="Refdenotaalpie"/>
          <w:sz w:val="28"/>
          <w:szCs w:val="28"/>
          <w:shd w:val="clear" w:color="auto" w:fill="FFFFFF"/>
        </w:rPr>
        <w:footnoteReference w:id="89"/>
      </w:r>
      <w:r w:rsidRPr="000C349E">
        <w:rPr>
          <w:sz w:val="28"/>
          <w:szCs w:val="28"/>
          <w:shd w:val="clear" w:color="auto" w:fill="FFFFFF"/>
        </w:rPr>
        <w:t>. Sobre el particular, esta Corporación ha precisado que:</w:t>
      </w:r>
    </w:p>
    <w:p w:rsidR="00851C61" w:rsidRPr="000C349E" w:rsidRDefault="00851C61" w:rsidP="000C349E">
      <w:pPr>
        <w:jc w:val="both"/>
        <w:rPr>
          <w:sz w:val="28"/>
          <w:szCs w:val="28"/>
          <w:shd w:val="clear" w:color="auto" w:fill="FFFFFF"/>
        </w:rPr>
      </w:pPr>
    </w:p>
    <w:p w:rsidR="00851C61" w:rsidRPr="000C349E" w:rsidRDefault="00851C61" w:rsidP="000C349E">
      <w:pPr>
        <w:ind w:left="227" w:right="227"/>
        <w:jc w:val="both"/>
        <w:rPr>
          <w:sz w:val="28"/>
          <w:szCs w:val="28"/>
        </w:rPr>
      </w:pPr>
      <w:r w:rsidRPr="000C349E">
        <w:rPr>
          <w:i/>
          <w:iCs/>
          <w:sz w:val="28"/>
          <w:szCs w:val="28"/>
          <w:shd w:val="clear" w:color="auto" w:fill="FFFFFF"/>
        </w:rPr>
        <w:t>“El estado de indefensión es un concepto de naturaleza fáctica que se configura cuando una persona se encuentra en un estado de debilidad manifiesta frente a otra, de modo que, por el conjunto de circunstancias que rodean el caso, no le es posible defenderse ante la agresión de sus derechos”</w:t>
      </w:r>
      <w:r w:rsidRPr="000C349E">
        <w:rPr>
          <w:sz w:val="28"/>
          <w:szCs w:val="28"/>
          <w:shd w:val="clear" w:color="auto" w:fill="FFFFFF"/>
        </w:rPr>
        <w:t xml:space="preserve">, porque </w:t>
      </w:r>
      <w:r w:rsidRPr="000C349E">
        <w:rPr>
          <w:i/>
          <w:iCs/>
          <w:sz w:val="28"/>
          <w:szCs w:val="28"/>
          <w:shd w:val="clear" w:color="auto" w:fill="FFFFFF"/>
        </w:rPr>
        <w:t>“carece de medios jurídicos de defensa”</w:t>
      </w:r>
      <w:r w:rsidRPr="000C349E">
        <w:rPr>
          <w:sz w:val="28"/>
          <w:szCs w:val="28"/>
          <w:shd w:val="clear" w:color="auto" w:fill="FFFFFF"/>
        </w:rPr>
        <w:t xml:space="preserve"> o </w:t>
      </w:r>
      <w:r w:rsidRPr="000C349E">
        <w:rPr>
          <w:i/>
          <w:iCs/>
          <w:sz w:val="28"/>
          <w:szCs w:val="28"/>
          <w:shd w:val="clear" w:color="auto" w:fill="FFFFFF"/>
        </w:rPr>
        <w:t>“a pesar de existir dichos medios, los mismos resultan insuficientes para resistir o repeler la vulneración o amenaza de sus derechos fundamentales”</w:t>
      </w:r>
      <w:r w:rsidRPr="000C349E">
        <w:rPr>
          <w:rStyle w:val="Refdenotaalpie"/>
          <w:sz w:val="28"/>
          <w:szCs w:val="28"/>
          <w:shd w:val="clear" w:color="auto" w:fill="FFFFFF"/>
        </w:rPr>
        <w:footnoteReference w:id="90"/>
      </w:r>
      <w:r w:rsidRPr="000C349E">
        <w:rPr>
          <w:sz w:val="28"/>
          <w:szCs w:val="28"/>
          <w:shd w:val="clear" w:color="auto" w:fill="FFFFFF"/>
        </w:rPr>
        <w:t>.</w:t>
      </w:r>
    </w:p>
    <w:p w:rsidR="00851C61" w:rsidRPr="000C349E" w:rsidRDefault="00851C61" w:rsidP="000C349E">
      <w:pPr>
        <w:jc w:val="both"/>
        <w:rPr>
          <w:sz w:val="28"/>
          <w:szCs w:val="28"/>
        </w:rPr>
      </w:pPr>
    </w:p>
    <w:p w:rsidR="00851C61" w:rsidRPr="000C349E" w:rsidRDefault="00851C61" w:rsidP="000C349E">
      <w:pPr>
        <w:jc w:val="both"/>
        <w:rPr>
          <w:sz w:val="28"/>
          <w:szCs w:val="28"/>
        </w:rPr>
      </w:pPr>
      <w:r w:rsidRPr="000C349E">
        <w:rPr>
          <w:sz w:val="28"/>
          <w:szCs w:val="28"/>
        </w:rPr>
        <w:t xml:space="preserve">6.11. </w:t>
      </w:r>
      <w:r w:rsidR="0043464E" w:rsidRPr="000C349E">
        <w:rPr>
          <w:sz w:val="28"/>
          <w:szCs w:val="28"/>
        </w:rPr>
        <w:t xml:space="preserve">De igual forma, este Tribunal ha explicado que </w:t>
      </w:r>
      <w:r w:rsidR="00C01D99" w:rsidRPr="000C349E">
        <w:rPr>
          <w:i/>
          <w:sz w:val="28"/>
          <w:szCs w:val="28"/>
        </w:rPr>
        <w:t>“la condición de indefensión suscita una posición diferencial de poder y una desventaja, cuyas consecuencias las soporta el extremo más débil de la relación”</w:t>
      </w:r>
      <w:r w:rsidR="00C01D99" w:rsidRPr="000C349E">
        <w:rPr>
          <w:sz w:val="28"/>
          <w:szCs w:val="28"/>
        </w:rPr>
        <w:t xml:space="preserve">, lo cual se presume, por ejemplo, </w:t>
      </w:r>
      <w:r w:rsidR="00C01D99" w:rsidRPr="000C349E">
        <w:rPr>
          <w:i/>
          <w:sz w:val="28"/>
          <w:szCs w:val="28"/>
        </w:rPr>
        <w:t>“cuando existe un vínculo afectivo, moral, social o contractual, que facilita la ejecución de acciones u omisiones que resultan lesivas de derechos fundamentales de una de las partes</w:t>
      </w:r>
      <w:r w:rsidR="00956AB4" w:rsidRPr="000C349E">
        <w:rPr>
          <w:i/>
          <w:sz w:val="28"/>
          <w:szCs w:val="28"/>
        </w:rPr>
        <w:t>,</w:t>
      </w:r>
      <w:r w:rsidR="00C01D99" w:rsidRPr="000C349E">
        <w:rPr>
          <w:i/>
          <w:sz w:val="28"/>
          <w:szCs w:val="28"/>
        </w:rPr>
        <w:t xml:space="preserve"> como en la relación entre padres e hijos, entre cónyuges, entre copropietarios, entre socios, etcétera”</w:t>
      </w:r>
      <w:r w:rsidR="00092854" w:rsidRPr="000C349E">
        <w:rPr>
          <w:rStyle w:val="Refdenotaalpie"/>
          <w:sz w:val="28"/>
          <w:szCs w:val="28"/>
        </w:rPr>
        <w:footnoteReference w:id="91"/>
      </w:r>
      <w:r w:rsidR="00C01D99" w:rsidRPr="000C349E">
        <w:rPr>
          <w:sz w:val="28"/>
          <w:szCs w:val="28"/>
        </w:rPr>
        <w:t>.</w:t>
      </w:r>
    </w:p>
    <w:p w:rsidR="00851C61" w:rsidRPr="000C349E" w:rsidRDefault="00851C61" w:rsidP="000C349E">
      <w:pPr>
        <w:jc w:val="both"/>
        <w:rPr>
          <w:sz w:val="28"/>
          <w:szCs w:val="28"/>
        </w:rPr>
      </w:pPr>
    </w:p>
    <w:p w:rsidR="00EF0F1D" w:rsidRPr="000C349E" w:rsidRDefault="00092854" w:rsidP="000C349E">
      <w:pPr>
        <w:jc w:val="both"/>
        <w:rPr>
          <w:sz w:val="28"/>
          <w:szCs w:val="28"/>
        </w:rPr>
      </w:pPr>
      <w:r w:rsidRPr="000C349E">
        <w:rPr>
          <w:sz w:val="28"/>
          <w:szCs w:val="28"/>
        </w:rPr>
        <w:t xml:space="preserve">6.12. </w:t>
      </w:r>
      <w:r w:rsidR="00956AB4" w:rsidRPr="000C349E">
        <w:rPr>
          <w:sz w:val="28"/>
          <w:szCs w:val="28"/>
        </w:rPr>
        <w:t xml:space="preserve">Descendiendo al estudio del asunto </w:t>
      </w:r>
      <w:r w:rsidR="009C6D73" w:rsidRPr="000C349E">
        <w:rPr>
          <w:sz w:val="28"/>
          <w:szCs w:val="28"/>
        </w:rPr>
        <w:t xml:space="preserve">de la referencia, la Sala advierte que </w:t>
      </w:r>
      <w:r w:rsidR="00AC52C2" w:rsidRPr="000C349E">
        <w:rPr>
          <w:sz w:val="28"/>
          <w:szCs w:val="28"/>
        </w:rPr>
        <w:t xml:space="preserve">de los elementos de juicio obrantes en el expediente no es posible </w:t>
      </w:r>
      <w:r w:rsidR="009C6D73" w:rsidRPr="000C349E">
        <w:rPr>
          <w:sz w:val="28"/>
          <w:szCs w:val="28"/>
        </w:rPr>
        <w:t xml:space="preserve">acreditar que Ángel Abad Hoyos Fernández tenga una relación de parentesco o social con </w:t>
      </w:r>
      <w:r w:rsidRPr="000C349E">
        <w:rPr>
          <w:sz w:val="28"/>
          <w:szCs w:val="28"/>
        </w:rPr>
        <w:t>María del Pilar Jiménez Rodríguez, José Domingo</w:t>
      </w:r>
      <w:r w:rsidR="00AB4A88" w:rsidRPr="000C349E">
        <w:rPr>
          <w:sz w:val="28"/>
          <w:szCs w:val="28"/>
        </w:rPr>
        <w:t xml:space="preserve"> Martínez Rincón</w:t>
      </w:r>
      <w:r w:rsidRPr="000C349E">
        <w:rPr>
          <w:sz w:val="28"/>
          <w:szCs w:val="28"/>
        </w:rPr>
        <w:t xml:space="preserve">, Jenny Mireya Rodríguez, </w:t>
      </w:r>
      <w:r w:rsidR="00F86BA9" w:rsidRPr="000C349E">
        <w:rPr>
          <w:sz w:val="28"/>
          <w:szCs w:val="28"/>
        </w:rPr>
        <w:t xml:space="preserve">Paula Andrea Jiménez Rodríguez </w:t>
      </w:r>
      <w:r w:rsidR="009C6D73" w:rsidRPr="000C349E">
        <w:rPr>
          <w:sz w:val="28"/>
          <w:szCs w:val="28"/>
        </w:rPr>
        <w:t>e</w:t>
      </w:r>
      <w:r w:rsidRPr="000C349E">
        <w:rPr>
          <w:sz w:val="28"/>
          <w:szCs w:val="28"/>
        </w:rPr>
        <w:t xml:space="preserve"> Isabella Hoyos Jiménez</w:t>
      </w:r>
      <w:r w:rsidR="009C6D73" w:rsidRPr="000C349E">
        <w:rPr>
          <w:sz w:val="28"/>
          <w:szCs w:val="28"/>
        </w:rPr>
        <w:t>.</w:t>
      </w:r>
      <w:r w:rsidR="0060157C" w:rsidRPr="000C349E">
        <w:rPr>
          <w:sz w:val="28"/>
          <w:szCs w:val="28"/>
        </w:rPr>
        <w:t xml:space="preserve"> </w:t>
      </w:r>
    </w:p>
    <w:p w:rsidR="00EF0F1D" w:rsidRPr="000C349E" w:rsidRDefault="00EF0F1D" w:rsidP="000C349E">
      <w:pPr>
        <w:jc w:val="both"/>
        <w:rPr>
          <w:sz w:val="28"/>
          <w:szCs w:val="28"/>
        </w:rPr>
      </w:pPr>
    </w:p>
    <w:p w:rsidR="0060157C" w:rsidRPr="000C349E" w:rsidRDefault="00EF0F1D" w:rsidP="000C349E">
      <w:pPr>
        <w:jc w:val="both"/>
        <w:rPr>
          <w:sz w:val="28"/>
          <w:szCs w:val="28"/>
        </w:rPr>
      </w:pPr>
      <w:r w:rsidRPr="000C349E">
        <w:rPr>
          <w:sz w:val="28"/>
          <w:szCs w:val="28"/>
        </w:rPr>
        <w:t xml:space="preserve">6.13. En </w:t>
      </w:r>
      <w:r w:rsidR="009C6D73" w:rsidRPr="000C349E">
        <w:rPr>
          <w:sz w:val="28"/>
          <w:szCs w:val="28"/>
        </w:rPr>
        <w:t>efecto</w:t>
      </w:r>
      <w:r w:rsidRPr="000C349E">
        <w:rPr>
          <w:sz w:val="28"/>
          <w:szCs w:val="28"/>
        </w:rPr>
        <w:t>, de la revisión de los documentos que reposan en el plenario, la Corte evidencia que:</w:t>
      </w:r>
    </w:p>
    <w:p w:rsidR="0060157C" w:rsidRPr="000C349E" w:rsidRDefault="0060157C" w:rsidP="000C349E">
      <w:pPr>
        <w:jc w:val="both"/>
        <w:rPr>
          <w:sz w:val="28"/>
          <w:szCs w:val="28"/>
        </w:rPr>
      </w:pPr>
    </w:p>
    <w:p w:rsidR="00AC52C2" w:rsidRPr="000C349E" w:rsidRDefault="0060157C" w:rsidP="000C349E">
      <w:pPr>
        <w:ind w:left="227" w:right="227"/>
        <w:jc w:val="both"/>
        <w:rPr>
          <w:sz w:val="28"/>
          <w:szCs w:val="28"/>
        </w:rPr>
      </w:pPr>
      <w:r w:rsidRPr="000C349E">
        <w:rPr>
          <w:sz w:val="28"/>
          <w:szCs w:val="28"/>
        </w:rPr>
        <w:t xml:space="preserve">(i) </w:t>
      </w:r>
      <w:r w:rsidR="00AC52C2" w:rsidRPr="000C349E">
        <w:rPr>
          <w:sz w:val="28"/>
          <w:szCs w:val="28"/>
        </w:rPr>
        <w:t xml:space="preserve">María del Pilar Jiménez Rodríguez </w:t>
      </w:r>
      <w:r w:rsidRPr="000C349E">
        <w:rPr>
          <w:sz w:val="28"/>
          <w:szCs w:val="28"/>
        </w:rPr>
        <w:t xml:space="preserve">en la actualidad no tiene vínculo alguno con el actor, ya que </w:t>
      </w:r>
      <w:r w:rsidR="00DB05A2" w:rsidRPr="000C349E">
        <w:rPr>
          <w:sz w:val="28"/>
          <w:szCs w:val="28"/>
        </w:rPr>
        <w:t xml:space="preserve">según estableció la Comisaría Sexta de Familia de Bogotá </w:t>
      </w:r>
      <w:r w:rsidRPr="000C349E">
        <w:rPr>
          <w:sz w:val="28"/>
          <w:szCs w:val="28"/>
        </w:rPr>
        <w:t>l</w:t>
      </w:r>
      <w:r w:rsidR="00DB05A2" w:rsidRPr="000C349E">
        <w:rPr>
          <w:sz w:val="28"/>
          <w:szCs w:val="28"/>
        </w:rPr>
        <w:t>a</w:t>
      </w:r>
      <w:r w:rsidRPr="000C349E">
        <w:rPr>
          <w:sz w:val="28"/>
          <w:szCs w:val="28"/>
        </w:rPr>
        <w:t xml:space="preserve"> relación marital que sostuvieron finalizó con su divorcio </w:t>
      </w:r>
      <w:r w:rsidR="00AC52C2" w:rsidRPr="000C349E">
        <w:rPr>
          <w:sz w:val="28"/>
          <w:szCs w:val="28"/>
          <w:lang w:val="es-CO"/>
        </w:rPr>
        <w:t xml:space="preserve">hace más de una década, por lo </w:t>
      </w:r>
      <w:r w:rsidRPr="000C349E">
        <w:rPr>
          <w:sz w:val="28"/>
          <w:szCs w:val="28"/>
          <w:lang w:val="es-CO"/>
        </w:rPr>
        <w:t xml:space="preserve">que no le son predicables los deberes derivados de la solidaridad familiar ante </w:t>
      </w:r>
      <w:r w:rsidR="00AC52C2" w:rsidRPr="000C349E">
        <w:rPr>
          <w:sz w:val="28"/>
          <w:szCs w:val="28"/>
          <w:lang w:val="es-CO"/>
        </w:rPr>
        <w:t xml:space="preserve">la finalización del </w:t>
      </w:r>
      <w:r w:rsidRPr="000C349E">
        <w:rPr>
          <w:sz w:val="28"/>
          <w:szCs w:val="28"/>
          <w:lang w:val="es-CO"/>
        </w:rPr>
        <w:t>contrato matrimonial antes de la internación del accionante</w:t>
      </w:r>
      <w:r w:rsidR="00956AB4" w:rsidRPr="000C349E">
        <w:rPr>
          <w:sz w:val="28"/>
          <w:szCs w:val="28"/>
          <w:lang w:val="es-CO"/>
        </w:rPr>
        <w:t xml:space="preserve"> en Proseguir IPS</w:t>
      </w:r>
      <w:r w:rsidR="00956AB4" w:rsidRPr="000C349E">
        <w:rPr>
          <w:rStyle w:val="Refdenotaalpie"/>
          <w:sz w:val="28"/>
          <w:szCs w:val="28"/>
          <w:lang w:val="es-CO"/>
        </w:rPr>
        <w:footnoteReference w:id="92"/>
      </w:r>
      <w:r w:rsidRPr="000C349E">
        <w:rPr>
          <w:sz w:val="28"/>
          <w:szCs w:val="28"/>
          <w:lang w:val="es-CO"/>
        </w:rPr>
        <w:t>.</w:t>
      </w:r>
      <w:r w:rsidR="001076DF" w:rsidRPr="000C349E">
        <w:rPr>
          <w:sz w:val="28"/>
          <w:szCs w:val="28"/>
          <w:lang w:val="es-CO"/>
        </w:rPr>
        <w:t xml:space="preserve"> </w:t>
      </w:r>
    </w:p>
    <w:p w:rsidR="00AC52C2" w:rsidRPr="000C349E" w:rsidRDefault="00AC52C2" w:rsidP="000C349E">
      <w:pPr>
        <w:ind w:left="227" w:right="227"/>
        <w:jc w:val="both"/>
        <w:rPr>
          <w:sz w:val="28"/>
          <w:szCs w:val="28"/>
        </w:rPr>
      </w:pPr>
    </w:p>
    <w:p w:rsidR="00EF0F1D" w:rsidRPr="000C349E" w:rsidRDefault="0060157C" w:rsidP="000C349E">
      <w:pPr>
        <w:ind w:left="227" w:right="227"/>
        <w:jc w:val="both"/>
        <w:rPr>
          <w:sz w:val="28"/>
          <w:szCs w:val="28"/>
        </w:rPr>
      </w:pPr>
      <w:r w:rsidRPr="000C349E">
        <w:rPr>
          <w:sz w:val="28"/>
          <w:szCs w:val="28"/>
        </w:rPr>
        <w:t xml:space="preserve">(ii) Jenny Mireya Rodríguez no tiene una relación de parentesco con Ángel Abad Hoyos Fernández, pues </w:t>
      </w:r>
      <w:r w:rsidR="00EF0F1D" w:rsidRPr="000C349E">
        <w:rPr>
          <w:sz w:val="28"/>
          <w:szCs w:val="28"/>
        </w:rPr>
        <w:t xml:space="preserve">se trata de una abogada que </w:t>
      </w:r>
      <w:r w:rsidRPr="000C349E">
        <w:rPr>
          <w:sz w:val="28"/>
          <w:szCs w:val="28"/>
        </w:rPr>
        <w:t>si bien actuó como su agente oficiosa en la acció</w:t>
      </w:r>
      <w:r w:rsidR="00EF0F1D" w:rsidRPr="000C349E">
        <w:rPr>
          <w:sz w:val="28"/>
          <w:szCs w:val="28"/>
        </w:rPr>
        <w:t xml:space="preserve">n de tutela que interpuso en </w:t>
      </w:r>
      <w:r w:rsidRPr="000C349E">
        <w:rPr>
          <w:sz w:val="28"/>
          <w:szCs w:val="28"/>
        </w:rPr>
        <w:t xml:space="preserve">nombre </w:t>
      </w:r>
      <w:r w:rsidR="00EF0F1D" w:rsidRPr="000C349E">
        <w:rPr>
          <w:sz w:val="28"/>
          <w:szCs w:val="28"/>
        </w:rPr>
        <w:t xml:space="preserve">del accionante </w:t>
      </w:r>
      <w:r w:rsidRPr="000C349E">
        <w:rPr>
          <w:sz w:val="28"/>
          <w:szCs w:val="28"/>
        </w:rPr>
        <w:t>en el año 2015, lo cierto es que en aquella o</w:t>
      </w:r>
      <w:r w:rsidR="00956AB4" w:rsidRPr="000C349E">
        <w:rPr>
          <w:sz w:val="28"/>
          <w:szCs w:val="28"/>
        </w:rPr>
        <w:t xml:space="preserve">portunidad acudió a la justicia </w:t>
      </w:r>
      <w:r w:rsidRPr="000C349E">
        <w:rPr>
          <w:sz w:val="28"/>
          <w:szCs w:val="28"/>
        </w:rPr>
        <w:t>en su calidad de asesora jurídica de la Clínica Partenón</w:t>
      </w:r>
      <w:r w:rsidR="00956AB4" w:rsidRPr="000C349E">
        <w:rPr>
          <w:sz w:val="28"/>
          <w:szCs w:val="28"/>
        </w:rPr>
        <w:t>, en</w:t>
      </w:r>
      <w:r w:rsidRPr="000C349E">
        <w:rPr>
          <w:sz w:val="28"/>
          <w:szCs w:val="28"/>
        </w:rPr>
        <w:t xml:space="preserve"> donde para la fecha se encontraba interno el </w:t>
      </w:r>
      <w:r w:rsidR="00EF0F1D" w:rsidRPr="000C349E">
        <w:rPr>
          <w:sz w:val="28"/>
          <w:szCs w:val="28"/>
        </w:rPr>
        <w:t>actor</w:t>
      </w:r>
      <w:r w:rsidR="00956AB4" w:rsidRPr="000C349E">
        <w:rPr>
          <w:rStyle w:val="Refdenotaalpie"/>
          <w:sz w:val="28"/>
          <w:szCs w:val="28"/>
        </w:rPr>
        <w:footnoteReference w:id="93"/>
      </w:r>
      <w:r w:rsidRPr="000C349E">
        <w:rPr>
          <w:sz w:val="28"/>
          <w:szCs w:val="28"/>
        </w:rPr>
        <w:t>.</w:t>
      </w:r>
    </w:p>
    <w:p w:rsidR="00EF0F1D" w:rsidRPr="000C349E" w:rsidRDefault="00EF0F1D" w:rsidP="000C349E">
      <w:pPr>
        <w:ind w:left="227" w:right="227"/>
        <w:jc w:val="both"/>
        <w:rPr>
          <w:sz w:val="28"/>
          <w:szCs w:val="28"/>
        </w:rPr>
      </w:pPr>
    </w:p>
    <w:p w:rsidR="00F971E4" w:rsidRPr="000C349E" w:rsidRDefault="00EF0F1D" w:rsidP="000C349E">
      <w:pPr>
        <w:ind w:left="227" w:right="227"/>
        <w:jc w:val="both"/>
        <w:rPr>
          <w:sz w:val="28"/>
          <w:szCs w:val="28"/>
        </w:rPr>
      </w:pPr>
      <w:r w:rsidRPr="000C349E">
        <w:rPr>
          <w:sz w:val="28"/>
          <w:szCs w:val="28"/>
        </w:rPr>
        <w:t>(iii)</w:t>
      </w:r>
      <w:r w:rsidR="001076DF" w:rsidRPr="000C349E">
        <w:rPr>
          <w:sz w:val="28"/>
          <w:szCs w:val="28"/>
        </w:rPr>
        <w:t xml:space="preserve"> </w:t>
      </w:r>
      <w:r w:rsidRPr="000C349E">
        <w:rPr>
          <w:sz w:val="28"/>
          <w:szCs w:val="28"/>
        </w:rPr>
        <w:t>No obra elemento de juicio alguno que relacione a Paula Andrea Jiménez Rodríguez</w:t>
      </w:r>
      <w:r w:rsidR="00F971E4" w:rsidRPr="000C349E">
        <w:rPr>
          <w:sz w:val="28"/>
          <w:szCs w:val="28"/>
        </w:rPr>
        <w:t xml:space="preserve"> </w:t>
      </w:r>
      <w:r w:rsidRPr="000C349E">
        <w:rPr>
          <w:sz w:val="28"/>
          <w:szCs w:val="28"/>
        </w:rPr>
        <w:t xml:space="preserve">y </w:t>
      </w:r>
      <w:r w:rsidR="00F971E4" w:rsidRPr="000C349E">
        <w:rPr>
          <w:sz w:val="28"/>
          <w:szCs w:val="28"/>
        </w:rPr>
        <w:t xml:space="preserve">a </w:t>
      </w:r>
      <w:r w:rsidRPr="000C349E">
        <w:rPr>
          <w:sz w:val="28"/>
          <w:szCs w:val="28"/>
        </w:rPr>
        <w:t>José Domingo</w:t>
      </w:r>
      <w:r w:rsidR="00AB4A88" w:rsidRPr="000C349E">
        <w:rPr>
          <w:sz w:val="28"/>
          <w:szCs w:val="28"/>
        </w:rPr>
        <w:t xml:space="preserve"> Martínez Rincón </w:t>
      </w:r>
      <w:r w:rsidRPr="000C349E">
        <w:rPr>
          <w:sz w:val="28"/>
          <w:szCs w:val="28"/>
        </w:rPr>
        <w:t>con Ángel Abad Hoyos Fernández, más allá de la coincidencia de los apellidos de la primera persona con l</w:t>
      </w:r>
      <w:r w:rsidR="00F971E4" w:rsidRPr="000C349E">
        <w:rPr>
          <w:sz w:val="28"/>
          <w:szCs w:val="28"/>
        </w:rPr>
        <w:t xml:space="preserve">os </w:t>
      </w:r>
      <w:r w:rsidRPr="000C349E">
        <w:rPr>
          <w:sz w:val="28"/>
          <w:szCs w:val="28"/>
        </w:rPr>
        <w:t>de la</w:t>
      </w:r>
      <w:r w:rsidR="00F971E4" w:rsidRPr="000C349E">
        <w:rPr>
          <w:sz w:val="28"/>
          <w:szCs w:val="28"/>
        </w:rPr>
        <w:t xml:space="preserve"> exesposa del actor (María del Pilar Jiménez Rodríguez).</w:t>
      </w:r>
    </w:p>
    <w:p w:rsidR="00F971E4" w:rsidRPr="000C349E" w:rsidRDefault="00F971E4" w:rsidP="000C349E">
      <w:pPr>
        <w:ind w:left="227" w:right="227"/>
        <w:jc w:val="both"/>
        <w:rPr>
          <w:sz w:val="28"/>
          <w:szCs w:val="28"/>
        </w:rPr>
      </w:pPr>
    </w:p>
    <w:p w:rsidR="00F971E4" w:rsidRPr="000C349E" w:rsidRDefault="00F971E4" w:rsidP="000C349E">
      <w:pPr>
        <w:ind w:left="227" w:right="227"/>
        <w:jc w:val="both"/>
        <w:rPr>
          <w:sz w:val="28"/>
          <w:szCs w:val="28"/>
        </w:rPr>
      </w:pPr>
      <w:r w:rsidRPr="000C349E">
        <w:rPr>
          <w:sz w:val="28"/>
          <w:szCs w:val="28"/>
        </w:rPr>
        <w:t>(iv) Aunque podría presumirse que en razón de los apellidos de Isabella Hoyos Jiménez tendría la condición de descendiente del actor y su exesposa, lo cierto es que en la entrevista realizada por la Secretaría</w:t>
      </w:r>
      <w:r w:rsidR="009C6D73" w:rsidRPr="000C349E">
        <w:rPr>
          <w:sz w:val="28"/>
          <w:szCs w:val="28"/>
        </w:rPr>
        <w:t xml:space="preserve"> Distrital de Integración Social al demandante únicamente se menciona a Angie Valeria Hoyos Jiménez como hija producto del vínculo matrimonial, quien, por demás, no fue mencionada en el escrito de amparo</w:t>
      </w:r>
      <w:r w:rsidR="00956AB4" w:rsidRPr="000C349E">
        <w:rPr>
          <w:rStyle w:val="Refdenotaalpie"/>
          <w:sz w:val="28"/>
          <w:szCs w:val="28"/>
        </w:rPr>
        <w:footnoteReference w:id="94"/>
      </w:r>
      <w:r w:rsidR="009C6D73" w:rsidRPr="000C349E">
        <w:rPr>
          <w:sz w:val="28"/>
          <w:szCs w:val="28"/>
        </w:rPr>
        <w:t>.</w:t>
      </w:r>
      <w:r w:rsidR="001076DF" w:rsidRPr="000C349E">
        <w:rPr>
          <w:sz w:val="28"/>
          <w:szCs w:val="28"/>
        </w:rPr>
        <w:t xml:space="preserve"> </w:t>
      </w:r>
    </w:p>
    <w:p w:rsidR="00DB05A2" w:rsidRPr="000C349E" w:rsidRDefault="00DB05A2" w:rsidP="000C349E">
      <w:pPr>
        <w:ind w:left="227" w:right="227"/>
        <w:jc w:val="both"/>
        <w:rPr>
          <w:sz w:val="28"/>
          <w:szCs w:val="28"/>
        </w:rPr>
      </w:pPr>
    </w:p>
    <w:p w:rsidR="00DB05A2" w:rsidRPr="000C349E" w:rsidRDefault="00DB05A2" w:rsidP="000C349E">
      <w:pPr>
        <w:ind w:left="227" w:right="227"/>
        <w:jc w:val="both"/>
        <w:rPr>
          <w:sz w:val="28"/>
          <w:szCs w:val="28"/>
        </w:rPr>
      </w:pPr>
      <w:r w:rsidRPr="000C349E">
        <w:rPr>
          <w:sz w:val="28"/>
          <w:szCs w:val="28"/>
        </w:rPr>
        <w:t>(v) No consta información que permita contactar a los accionados</w:t>
      </w:r>
      <w:r w:rsidR="00C177DF" w:rsidRPr="000C349E">
        <w:rPr>
          <w:sz w:val="28"/>
          <w:szCs w:val="28"/>
        </w:rPr>
        <w:t xml:space="preserve">, pues incluso los datos suministrados en </w:t>
      </w:r>
      <w:r w:rsidR="00956AB4" w:rsidRPr="000C349E">
        <w:rPr>
          <w:sz w:val="28"/>
          <w:szCs w:val="28"/>
        </w:rPr>
        <w:t>la acción de tutela</w:t>
      </w:r>
      <w:r w:rsidR="00C177DF" w:rsidRPr="000C349E">
        <w:rPr>
          <w:sz w:val="28"/>
          <w:szCs w:val="28"/>
        </w:rPr>
        <w:t xml:space="preserve"> por la agente oficiosa</w:t>
      </w:r>
      <w:r w:rsidRPr="000C349E">
        <w:rPr>
          <w:sz w:val="28"/>
          <w:szCs w:val="28"/>
        </w:rPr>
        <w:t xml:space="preserve"> no </w:t>
      </w:r>
      <w:r w:rsidR="005E6A49" w:rsidRPr="000C349E">
        <w:rPr>
          <w:sz w:val="28"/>
          <w:szCs w:val="28"/>
        </w:rPr>
        <w:t>permitieron</w:t>
      </w:r>
      <w:r w:rsidR="00C177DF" w:rsidRPr="000C349E">
        <w:rPr>
          <w:sz w:val="28"/>
          <w:szCs w:val="28"/>
        </w:rPr>
        <w:t xml:space="preserve"> ubicarlos, </w:t>
      </w:r>
      <w:r w:rsidR="000F7F1D" w:rsidRPr="000C349E">
        <w:rPr>
          <w:sz w:val="28"/>
          <w:szCs w:val="28"/>
        </w:rPr>
        <w:t>como dejó constancia</w:t>
      </w:r>
      <w:r w:rsidR="00C177DF" w:rsidRPr="000C349E">
        <w:rPr>
          <w:sz w:val="28"/>
          <w:szCs w:val="28"/>
        </w:rPr>
        <w:t xml:space="preserve"> </w:t>
      </w:r>
      <w:r w:rsidRPr="000C349E">
        <w:rPr>
          <w:sz w:val="28"/>
          <w:szCs w:val="28"/>
        </w:rPr>
        <w:t>el notificador d</w:t>
      </w:r>
      <w:r w:rsidR="005E6A49" w:rsidRPr="000C349E">
        <w:rPr>
          <w:sz w:val="28"/>
          <w:szCs w:val="28"/>
        </w:rPr>
        <w:t>el juzgado de primera instancia, quien</w:t>
      </w:r>
      <w:r w:rsidR="000F7F1D" w:rsidRPr="000C349E">
        <w:rPr>
          <w:sz w:val="28"/>
          <w:szCs w:val="28"/>
        </w:rPr>
        <w:t xml:space="preserve"> </w:t>
      </w:r>
      <w:r w:rsidRPr="000C349E">
        <w:rPr>
          <w:sz w:val="28"/>
          <w:szCs w:val="28"/>
        </w:rPr>
        <w:t>acudió a las direcciones indicadas en el</w:t>
      </w:r>
      <w:r w:rsidR="00956AB4" w:rsidRPr="000C349E">
        <w:rPr>
          <w:sz w:val="28"/>
          <w:szCs w:val="28"/>
        </w:rPr>
        <w:t xml:space="preserve"> escrito de amparo</w:t>
      </w:r>
      <w:r w:rsidRPr="000C349E">
        <w:rPr>
          <w:sz w:val="28"/>
          <w:szCs w:val="28"/>
        </w:rPr>
        <w:t xml:space="preserve"> y fue informado por las personas presentes que no tenían conocimiento del paradero de los demandados</w:t>
      </w:r>
      <w:r w:rsidR="00864080" w:rsidRPr="000C349E">
        <w:rPr>
          <w:rStyle w:val="Refdenotaalpie"/>
          <w:sz w:val="28"/>
          <w:szCs w:val="28"/>
        </w:rPr>
        <w:footnoteReference w:id="95"/>
      </w:r>
      <w:r w:rsidRPr="000C349E">
        <w:rPr>
          <w:sz w:val="28"/>
          <w:szCs w:val="28"/>
        </w:rPr>
        <w:t>.</w:t>
      </w:r>
      <w:r w:rsidR="001076DF" w:rsidRPr="000C349E">
        <w:rPr>
          <w:sz w:val="28"/>
          <w:szCs w:val="28"/>
        </w:rPr>
        <w:t xml:space="preserve"> </w:t>
      </w:r>
    </w:p>
    <w:p w:rsidR="00DB05A2" w:rsidRPr="000C349E" w:rsidRDefault="00DB05A2" w:rsidP="000C349E">
      <w:pPr>
        <w:jc w:val="both"/>
        <w:rPr>
          <w:sz w:val="28"/>
          <w:szCs w:val="28"/>
        </w:rPr>
      </w:pPr>
    </w:p>
    <w:p w:rsidR="009C6D73" w:rsidRPr="000C349E" w:rsidRDefault="00C177DF" w:rsidP="000C349E">
      <w:pPr>
        <w:jc w:val="both"/>
        <w:rPr>
          <w:sz w:val="28"/>
          <w:szCs w:val="28"/>
        </w:rPr>
      </w:pPr>
      <w:r w:rsidRPr="000C349E">
        <w:rPr>
          <w:sz w:val="28"/>
          <w:szCs w:val="28"/>
        </w:rPr>
        <w:t xml:space="preserve">6.14. </w:t>
      </w:r>
      <w:r w:rsidR="009C6D73" w:rsidRPr="000C349E">
        <w:rPr>
          <w:sz w:val="28"/>
          <w:szCs w:val="28"/>
        </w:rPr>
        <w:t>Así las cosas, ante la imposibilidad de comprobar la existencia de una relación de parentesco o social entre el actor y los dem</w:t>
      </w:r>
      <w:r w:rsidRPr="000C349E">
        <w:rPr>
          <w:sz w:val="28"/>
          <w:szCs w:val="28"/>
        </w:rPr>
        <w:t xml:space="preserve">andados, este Tribunal no puede llegar a concluir </w:t>
      </w:r>
      <w:r w:rsidR="009C6D73" w:rsidRPr="000C349E">
        <w:rPr>
          <w:sz w:val="28"/>
          <w:szCs w:val="28"/>
        </w:rPr>
        <w:t>que entre ellos exist</w:t>
      </w:r>
      <w:r w:rsidR="00864080" w:rsidRPr="000C349E">
        <w:rPr>
          <w:sz w:val="28"/>
          <w:szCs w:val="28"/>
        </w:rPr>
        <w:t>e</w:t>
      </w:r>
      <w:r w:rsidR="009C6D73" w:rsidRPr="000C349E">
        <w:rPr>
          <w:sz w:val="28"/>
          <w:szCs w:val="28"/>
        </w:rPr>
        <w:t xml:space="preserve"> una situación de indefensión que torne procedente la acción de tutela de la referencia, así como que permita entrar a</w:t>
      </w:r>
      <w:r w:rsidR="00DB05A2" w:rsidRPr="000C349E">
        <w:rPr>
          <w:sz w:val="28"/>
          <w:szCs w:val="28"/>
        </w:rPr>
        <w:t xml:space="preserve"> verificar si los accionados en virtud del principio de solidaridad familiar están obligados a concurrir a garantizar el egreso de Ángel Abad Hoyos Fernández de Proseguir IPS.</w:t>
      </w:r>
      <w:r w:rsidR="001076DF" w:rsidRPr="000C349E">
        <w:rPr>
          <w:sz w:val="28"/>
          <w:szCs w:val="28"/>
        </w:rPr>
        <w:t xml:space="preserve"> </w:t>
      </w:r>
    </w:p>
    <w:p w:rsidR="00864080" w:rsidRPr="000C349E" w:rsidRDefault="00864080" w:rsidP="000C349E">
      <w:pPr>
        <w:jc w:val="both"/>
        <w:rPr>
          <w:sz w:val="28"/>
          <w:szCs w:val="28"/>
        </w:rPr>
      </w:pPr>
    </w:p>
    <w:p w:rsidR="00935D59" w:rsidRPr="000C349E" w:rsidRDefault="00C177DF" w:rsidP="000C349E">
      <w:pPr>
        <w:jc w:val="both"/>
        <w:rPr>
          <w:sz w:val="28"/>
          <w:szCs w:val="28"/>
        </w:rPr>
      </w:pPr>
      <w:r w:rsidRPr="000C349E">
        <w:rPr>
          <w:sz w:val="28"/>
          <w:szCs w:val="28"/>
        </w:rPr>
        <w:t xml:space="preserve">6.15. </w:t>
      </w:r>
      <w:r w:rsidR="00935D59" w:rsidRPr="000C349E">
        <w:rPr>
          <w:sz w:val="28"/>
          <w:szCs w:val="28"/>
        </w:rPr>
        <w:t xml:space="preserve">Por lo anterior, la Corte revocará los fallos de instancia que denegaron la protección deprecada por la representante legal </w:t>
      </w:r>
      <w:r w:rsidR="005E6A49" w:rsidRPr="000C349E">
        <w:rPr>
          <w:sz w:val="28"/>
          <w:szCs w:val="28"/>
        </w:rPr>
        <w:t xml:space="preserve">de </w:t>
      </w:r>
      <w:r w:rsidR="00935D59" w:rsidRPr="000C349E">
        <w:rPr>
          <w:sz w:val="28"/>
          <w:szCs w:val="28"/>
        </w:rPr>
        <w:t>Proseguir IPS Ginna Rocío García Parra, actuando como agente oficiosa de Ángel Abad Hoyos Fernández, y, en su lugar, declarará improcedente el amparo por falta de legitimación en la causa por pasiva de María del Pilar Jiménez Rodríguez, José Domingo</w:t>
      </w:r>
      <w:r w:rsidR="00AB4A88" w:rsidRPr="000C349E">
        <w:rPr>
          <w:sz w:val="28"/>
          <w:szCs w:val="28"/>
        </w:rPr>
        <w:t xml:space="preserve"> Martínez Rincón</w:t>
      </w:r>
      <w:r w:rsidR="00935D59" w:rsidRPr="000C349E">
        <w:rPr>
          <w:sz w:val="28"/>
          <w:szCs w:val="28"/>
        </w:rPr>
        <w:t>, Jenny Mireya Rodríguez, Paula Andrea Jiménez Rodríguez e Isabella Hoyos Jiménez.</w:t>
      </w:r>
    </w:p>
    <w:p w:rsidR="00935D59" w:rsidRPr="000C349E" w:rsidRDefault="00935D59" w:rsidP="000C349E">
      <w:pPr>
        <w:jc w:val="both"/>
        <w:rPr>
          <w:sz w:val="28"/>
          <w:szCs w:val="28"/>
        </w:rPr>
      </w:pPr>
    </w:p>
    <w:p w:rsidR="001E561D" w:rsidRPr="000C349E" w:rsidRDefault="00935D59" w:rsidP="000C349E">
      <w:pPr>
        <w:jc w:val="both"/>
        <w:rPr>
          <w:sz w:val="28"/>
          <w:szCs w:val="28"/>
        </w:rPr>
      </w:pPr>
      <w:r w:rsidRPr="000C349E">
        <w:rPr>
          <w:sz w:val="28"/>
          <w:szCs w:val="28"/>
        </w:rPr>
        <w:t>6.16. Sin embargo</w:t>
      </w:r>
      <w:r w:rsidR="00C177DF" w:rsidRPr="000C349E">
        <w:rPr>
          <w:sz w:val="28"/>
          <w:szCs w:val="28"/>
        </w:rPr>
        <w:t xml:space="preserve">, </w:t>
      </w:r>
      <w:r w:rsidR="000F7F1D" w:rsidRPr="000C349E">
        <w:rPr>
          <w:sz w:val="28"/>
          <w:szCs w:val="28"/>
        </w:rPr>
        <w:t>teniendo en cuenta</w:t>
      </w:r>
      <w:r w:rsidRPr="000C349E">
        <w:rPr>
          <w:sz w:val="28"/>
          <w:szCs w:val="28"/>
        </w:rPr>
        <w:t xml:space="preserve"> </w:t>
      </w:r>
      <w:r w:rsidR="00C177DF" w:rsidRPr="000C349E">
        <w:rPr>
          <w:sz w:val="28"/>
          <w:szCs w:val="28"/>
        </w:rPr>
        <w:t xml:space="preserve">la posibilidad que tiene el juez constitucional de </w:t>
      </w:r>
      <w:r w:rsidR="000F7F1D" w:rsidRPr="000C349E">
        <w:rPr>
          <w:sz w:val="28"/>
          <w:szCs w:val="28"/>
        </w:rPr>
        <w:t xml:space="preserve">proferir fallos </w:t>
      </w:r>
      <w:r w:rsidR="000F7F1D" w:rsidRPr="000C349E">
        <w:rPr>
          <w:i/>
          <w:sz w:val="28"/>
          <w:szCs w:val="28"/>
        </w:rPr>
        <w:t>ultra</w:t>
      </w:r>
      <w:r w:rsidR="000F7F1D" w:rsidRPr="000C349E">
        <w:rPr>
          <w:sz w:val="28"/>
          <w:szCs w:val="28"/>
        </w:rPr>
        <w:t xml:space="preserve"> y </w:t>
      </w:r>
      <w:r w:rsidR="000F7F1D" w:rsidRPr="000C349E">
        <w:rPr>
          <w:i/>
          <w:sz w:val="28"/>
          <w:szCs w:val="28"/>
        </w:rPr>
        <w:t>extra petita</w:t>
      </w:r>
      <w:r w:rsidR="000F7F1D" w:rsidRPr="000C349E">
        <w:rPr>
          <w:sz w:val="28"/>
          <w:szCs w:val="28"/>
        </w:rPr>
        <w:t xml:space="preserve">, esto es, </w:t>
      </w:r>
      <w:r w:rsidR="000F7F1D" w:rsidRPr="000C349E">
        <w:rPr>
          <w:i/>
          <w:sz w:val="28"/>
          <w:szCs w:val="28"/>
        </w:rPr>
        <w:t>“decidir más allá de lo pedido o sobre pretensiones que no hicieron parte de la demanda”</w:t>
      </w:r>
      <w:r w:rsidR="000F7F1D" w:rsidRPr="000C349E">
        <w:rPr>
          <w:rStyle w:val="Refdenotaalpie"/>
          <w:sz w:val="28"/>
          <w:szCs w:val="28"/>
        </w:rPr>
        <w:footnoteReference w:id="96"/>
      </w:r>
      <w:r w:rsidR="000F7F1D" w:rsidRPr="000C349E">
        <w:rPr>
          <w:sz w:val="28"/>
          <w:szCs w:val="28"/>
        </w:rPr>
        <w:t xml:space="preserve">, </w:t>
      </w:r>
      <w:r w:rsidRPr="000C349E">
        <w:rPr>
          <w:sz w:val="28"/>
          <w:szCs w:val="28"/>
        </w:rPr>
        <w:t xml:space="preserve">esta Sala </w:t>
      </w:r>
      <w:r w:rsidR="001E561D" w:rsidRPr="000C349E">
        <w:rPr>
          <w:sz w:val="28"/>
          <w:szCs w:val="28"/>
        </w:rPr>
        <w:t>examinará la posible afectación del derecho a la vida digna de</w:t>
      </w:r>
      <w:r w:rsidRPr="000C349E">
        <w:rPr>
          <w:sz w:val="28"/>
          <w:szCs w:val="28"/>
        </w:rPr>
        <w:t xml:space="preserve"> Ángel Abad Hoyos Fernández</w:t>
      </w:r>
      <w:r w:rsidR="001076DF" w:rsidRPr="000C349E">
        <w:rPr>
          <w:sz w:val="28"/>
          <w:szCs w:val="28"/>
        </w:rPr>
        <w:t xml:space="preserve"> </w:t>
      </w:r>
      <w:r w:rsidR="001E561D" w:rsidRPr="000C349E">
        <w:rPr>
          <w:sz w:val="28"/>
          <w:szCs w:val="28"/>
        </w:rPr>
        <w:t>debido a su internación indefinida en Proseguir IPS</w:t>
      </w:r>
      <w:r w:rsidR="00066F6F" w:rsidRPr="000C349E">
        <w:rPr>
          <w:rStyle w:val="Refdenotaalpie"/>
          <w:sz w:val="28"/>
          <w:szCs w:val="28"/>
        </w:rPr>
        <w:footnoteReference w:id="97"/>
      </w:r>
      <w:r w:rsidR="001E561D" w:rsidRPr="000C349E">
        <w:rPr>
          <w:sz w:val="28"/>
          <w:szCs w:val="28"/>
        </w:rPr>
        <w:t xml:space="preserve">. </w:t>
      </w:r>
    </w:p>
    <w:p w:rsidR="001E561D" w:rsidRPr="000C349E" w:rsidRDefault="001E561D" w:rsidP="000C349E">
      <w:pPr>
        <w:jc w:val="both"/>
        <w:rPr>
          <w:sz w:val="28"/>
          <w:szCs w:val="28"/>
        </w:rPr>
      </w:pPr>
    </w:p>
    <w:p w:rsidR="00BF0149" w:rsidRPr="000C349E" w:rsidRDefault="00BF0149" w:rsidP="000C349E">
      <w:pPr>
        <w:jc w:val="both"/>
        <w:rPr>
          <w:sz w:val="28"/>
          <w:szCs w:val="28"/>
        </w:rPr>
      </w:pPr>
      <w:r w:rsidRPr="000C349E">
        <w:rPr>
          <w:sz w:val="28"/>
          <w:szCs w:val="28"/>
        </w:rPr>
        <w:t xml:space="preserve">6.17. </w:t>
      </w:r>
      <w:r w:rsidR="00066F6F" w:rsidRPr="000C349E">
        <w:rPr>
          <w:sz w:val="28"/>
          <w:szCs w:val="28"/>
        </w:rPr>
        <w:t>Con tal propósito</w:t>
      </w:r>
      <w:r w:rsidRPr="000C349E">
        <w:rPr>
          <w:sz w:val="28"/>
          <w:szCs w:val="28"/>
        </w:rPr>
        <w:t>, es pertinente reiterar</w:t>
      </w:r>
      <w:r w:rsidR="001E561D" w:rsidRPr="000C349E">
        <w:rPr>
          <w:sz w:val="28"/>
          <w:szCs w:val="28"/>
        </w:rPr>
        <w:t xml:space="preserve"> que esta Corporación ha </w:t>
      </w:r>
      <w:r w:rsidRPr="000C349E">
        <w:rPr>
          <w:sz w:val="28"/>
          <w:szCs w:val="28"/>
        </w:rPr>
        <w:t xml:space="preserve">sostenido que </w:t>
      </w:r>
      <w:r w:rsidRPr="000C349E">
        <w:rPr>
          <w:i/>
          <w:sz w:val="28"/>
          <w:szCs w:val="28"/>
        </w:rPr>
        <w:t>“el desinterés de los parientes por la recuperación del enfermo (…) no puede dar lugar a un innecesario e indefinido confinamiento en un hospital”</w:t>
      </w:r>
      <w:r w:rsidRPr="000C349E">
        <w:rPr>
          <w:sz w:val="28"/>
          <w:szCs w:val="28"/>
        </w:rPr>
        <w:t>, ya que la internación de una persona de manera prolongada a pesar de las indicaciones médicas que recomiendan su egres</w:t>
      </w:r>
      <w:r w:rsidR="00D1602F" w:rsidRPr="000C349E">
        <w:rPr>
          <w:sz w:val="28"/>
          <w:szCs w:val="28"/>
        </w:rPr>
        <w:t>o, constituye una vulneración a</w:t>
      </w:r>
      <w:r w:rsidRPr="000C349E">
        <w:rPr>
          <w:sz w:val="28"/>
          <w:szCs w:val="28"/>
        </w:rPr>
        <w:t xml:space="preserve"> sus derechos fundamentales</w:t>
      </w:r>
      <w:r w:rsidR="00066F6F" w:rsidRPr="000C349E">
        <w:rPr>
          <w:rStyle w:val="Refdenotaalpie"/>
          <w:sz w:val="28"/>
          <w:szCs w:val="28"/>
        </w:rPr>
        <w:footnoteReference w:id="98"/>
      </w:r>
      <w:r w:rsidRPr="000C349E">
        <w:rPr>
          <w:sz w:val="28"/>
          <w:szCs w:val="28"/>
        </w:rPr>
        <w:t xml:space="preserve">. </w:t>
      </w:r>
    </w:p>
    <w:p w:rsidR="00BF0149" w:rsidRPr="000C349E" w:rsidRDefault="00BF0149" w:rsidP="000C349E">
      <w:pPr>
        <w:jc w:val="both"/>
        <w:rPr>
          <w:sz w:val="28"/>
          <w:szCs w:val="28"/>
        </w:rPr>
      </w:pPr>
    </w:p>
    <w:p w:rsidR="00BF0149" w:rsidRPr="000C349E" w:rsidRDefault="00066F6F" w:rsidP="000C349E">
      <w:pPr>
        <w:jc w:val="both"/>
        <w:rPr>
          <w:sz w:val="28"/>
          <w:szCs w:val="28"/>
        </w:rPr>
      </w:pPr>
      <w:r w:rsidRPr="000C349E">
        <w:rPr>
          <w:sz w:val="28"/>
          <w:szCs w:val="28"/>
        </w:rPr>
        <w:t xml:space="preserve">6.18. </w:t>
      </w:r>
      <w:r w:rsidR="00BF0149" w:rsidRPr="000C349E">
        <w:rPr>
          <w:sz w:val="28"/>
          <w:szCs w:val="28"/>
        </w:rPr>
        <w:t xml:space="preserve">En esta línea argumentativa, este Tribunal ha explicado que </w:t>
      </w:r>
      <w:r w:rsidR="00BF0149" w:rsidRPr="000C349E">
        <w:rPr>
          <w:i/>
          <w:sz w:val="28"/>
          <w:szCs w:val="28"/>
        </w:rPr>
        <w:t>“si la recuperación y reintegro del paciente al seno familiar resulta imposible, no se compadece con la Constitución disponer su hospitalización permanente”</w:t>
      </w:r>
      <w:r w:rsidRPr="000C349E">
        <w:rPr>
          <w:rStyle w:val="Refdenotaalpie"/>
          <w:i/>
          <w:sz w:val="28"/>
          <w:szCs w:val="28"/>
        </w:rPr>
        <w:footnoteReference w:id="99"/>
      </w:r>
      <w:r w:rsidR="00BF0149" w:rsidRPr="000C349E">
        <w:rPr>
          <w:sz w:val="28"/>
          <w:szCs w:val="28"/>
        </w:rPr>
        <w:t xml:space="preserve">, toda vez que lo procedente bajo los </w:t>
      </w:r>
      <w:r w:rsidR="006926DB" w:rsidRPr="000C349E">
        <w:rPr>
          <w:sz w:val="28"/>
          <w:szCs w:val="28"/>
        </w:rPr>
        <w:t>mandatos</w:t>
      </w:r>
      <w:r w:rsidR="00BF0149" w:rsidRPr="000C349E">
        <w:rPr>
          <w:sz w:val="28"/>
          <w:szCs w:val="28"/>
        </w:rPr>
        <w:t xml:space="preserve"> </w:t>
      </w:r>
      <w:r w:rsidR="006926DB" w:rsidRPr="000C349E">
        <w:rPr>
          <w:sz w:val="28"/>
          <w:szCs w:val="28"/>
        </w:rPr>
        <w:t>superiores</w:t>
      </w:r>
      <w:r w:rsidR="00BF0149" w:rsidRPr="000C349E">
        <w:rPr>
          <w:sz w:val="28"/>
          <w:szCs w:val="28"/>
        </w:rPr>
        <w:t xml:space="preserve"> </w:t>
      </w:r>
      <w:r w:rsidR="006926DB" w:rsidRPr="000C349E">
        <w:rPr>
          <w:sz w:val="28"/>
          <w:szCs w:val="28"/>
        </w:rPr>
        <w:t>propios d</w:t>
      </w:r>
      <w:r w:rsidR="00BF0149" w:rsidRPr="000C349E">
        <w:rPr>
          <w:sz w:val="28"/>
          <w:szCs w:val="28"/>
        </w:rPr>
        <w:t>el Estado</w:t>
      </w:r>
      <w:r w:rsidR="006926DB" w:rsidRPr="000C349E">
        <w:rPr>
          <w:sz w:val="28"/>
          <w:szCs w:val="28"/>
        </w:rPr>
        <w:t xml:space="preserve"> Social de Derecho es que la administración</w:t>
      </w:r>
      <w:r w:rsidR="00BF0149" w:rsidRPr="000C349E">
        <w:rPr>
          <w:sz w:val="28"/>
          <w:szCs w:val="28"/>
        </w:rPr>
        <w:t>, a trav</w:t>
      </w:r>
      <w:r w:rsidR="006926DB" w:rsidRPr="000C349E">
        <w:rPr>
          <w:sz w:val="28"/>
          <w:szCs w:val="28"/>
        </w:rPr>
        <w:t>és de sus diverso</w:t>
      </w:r>
      <w:r w:rsidR="00BF0149" w:rsidRPr="000C349E">
        <w:rPr>
          <w:sz w:val="28"/>
          <w:szCs w:val="28"/>
        </w:rPr>
        <w:t>s</w:t>
      </w:r>
      <w:r w:rsidR="006926DB" w:rsidRPr="000C349E">
        <w:rPr>
          <w:sz w:val="28"/>
          <w:szCs w:val="28"/>
        </w:rPr>
        <w:t xml:space="preserve"> programas de asistencia</w:t>
      </w:r>
      <w:r w:rsidR="00BF0149" w:rsidRPr="000C349E">
        <w:rPr>
          <w:sz w:val="28"/>
          <w:szCs w:val="28"/>
        </w:rPr>
        <w:t xml:space="preserve">, garantice </w:t>
      </w:r>
      <w:r w:rsidR="006926DB" w:rsidRPr="000C349E">
        <w:rPr>
          <w:sz w:val="28"/>
          <w:szCs w:val="28"/>
        </w:rPr>
        <w:t>la</w:t>
      </w:r>
      <w:r w:rsidR="00BF0149" w:rsidRPr="000C349E">
        <w:rPr>
          <w:sz w:val="28"/>
          <w:szCs w:val="28"/>
        </w:rPr>
        <w:t xml:space="preserve"> reincorporación</w:t>
      </w:r>
      <w:r w:rsidR="006926DB" w:rsidRPr="000C349E">
        <w:rPr>
          <w:sz w:val="28"/>
          <w:szCs w:val="28"/>
        </w:rPr>
        <w:t xml:space="preserve"> de la persona a su entorno comunitario</w:t>
      </w:r>
      <w:r w:rsidRPr="000C349E">
        <w:rPr>
          <w:sz w:val="28"/>
          <w:szCs w:val="28"/>
        </w:rPr>
        <w:t xml:space="preserve"> y facilite su egreso clínico</w:t>
      </w:r>
      <w:r w:rsidRPr="000C349E">
        <w:rPr>
          <w:rStyle w:val="Refdenotaalpie"/>
          <w:sz w:val="28"/>
          <w:szCs w:val="28"/>
        </w:rPr>
        <w:footnoteReference w:id="100"/>
      </w:r>
      <w:r w:rsidR="006926DB" w:rsidRPr="000C349E">
        <w:rPr>
          <w:sz w:val="28"/>
          <w:szCs w:val="28"/>
        </w:rPr>
        <w:t xml:space="preserve">. </w:t>
      </w:r>
    </w:p>
    <w:p w:rsidR="00935D59" w:rsidRPr="000C349E" w:rsidRDefault="00935D59" w:rsidP="000C349E">
      <w:pPr>
        <w:jc w:val="both"/>
        <w:rPr>
          <w:sz w:val="28"/>
          <w:szCs w:val="28"/>
        </w:rPr>
      </w:pPr>
    </w:p>
    <w:p w:rsidR="00B561AC" w:rsidRPr="000C349E" w:rsidRDefault="00066F6F" w:rsidP="000C349E">
      <w:pPr>
        <w:jc w:val="both"/>
        <w:rPr>
          <w:sz w:val="28"/>
          <w:szCs w:val="28"/>
        </w:rPr>
      </w:pPr>
      <w:r w:rsidRPr="000C349E">
        <w:rPr>
          <w:sz w:val="28"/>
          <w:szCs w:val="28"/>
        </w:rPr>
        <w:t xml:space="preserve">6.19. </w:t>
      </w:r>
      <w:r w:rsidR="006926DB" w:rsidRPr="000C349E">
        <w:rPr>
          <w:sz w:val="28"/>
          <w:szCs w:val="28"/>
        </w:rPr>
        <w:t xml:space="preserve">Así las cosas, al </w:t>
      </w:r>
      <w:r w:rsidR="00D1602F" w:rsidRPr="000C349E">
        <w:rPr>
          <w:sz w:val="28"/>
          <w:szCs w:val="28"/>
        </w:rPr>
        <w:t xml:space="preserve">poderse </w:t>
      </w:r>
      <w:r w:rsidR="006926DB" w:rsidRPr="000C349E">
        <w:rPr>
          <w:sz w:val="28"/>
          <w:szCs w:val="28"/>
        </w:rPr>
        <w:t xml:space="preserve">comprobar del examen de la historia </w:t>
      </w:r>
      <w:r w:rsidR="00D1602F" w:rsidRPr="000C349E">
        <w:rPr>
          <w:sz w:val="28"/>
          <w:szCs w:val="28"/>
        </w:rPr>
        <w:t xml:space="preserve">médica </w:t>
      </w:r>
      <w:r w:rsidR="006926DB" w:rsidRPr="000C349E">
        <w:rPr>
          <w:sz w:val="28"/>
          <w:szCs w:val="28"/>
        </w:rPr>
        <w:t xml:space="preserve">aportada al presente proceso que el abandono social que padece Ángel Abad Hoyos Fernández ha generado que permanezca internado en Proseguir IPS por más de cuatro años a pesar de las indicaciones </w:t>
      </w:r>
      <w:r w:rsidR="00431915" w:rsidRPr="000C349E">
        <w:rPr>
          <w:sz w:val="28"/>
          <w:szCs w:val="28"/>
        </w:rPr>
        <w:t xml:space="preserve">de los galenos tratantes </w:t>
      </w:r>
      <w:r w:rsidR="006926DB" w:rsidRPr="000C349E">
        <w:rPr>
          <w:sz w:val="28"/>
          <w:szCs w:val="28"/>
        </w:rPr>
        <w:t>que recomiendan su egreso</w:t>
      </w:r>
      <w:r w:rsidR="00431915" w:rsidRPr="000C349E">
        <w:rPr>
          <w:sz w:val="28"/>
          <w:szCs w:val="28"/>
        </w:rPr>
        <w:t xml:space="preserve"> clínico</w:t>
      </w:r>
      <w:r w:rsidRPr="000C349E">
        <w:rPr>
          <w:rStyle w:val="Refdenotaalpie"/>
          <w:sz w:val="28"/>
          <w:szCs w:val="28"/>
        </w:rPr>
        <w:footnoteReference w:id="101"/>
      </w:r>
      <w:r w:rsidR="006926DB" w:rsidRPr="000C349E">
        <w:rPr>
          <w:sz w:val="28"/>
          <w:szCs w:val="28"/>
        </w:rPr>
        <w:t>, la Corte requerirá a la Comisaría Sexta de Familia de Bogotá para que</w:t>
      </w:r>
      <w:r w:rsidRPr="000C349E">
        <w:rPr>
          <w:sz w:val="28"/>
          <w:szCs w:val="28"/>
        </w:rPr>
        <w:t>, en ejercicio de sus competencias legales</w:t>
      </w:r>
      <w:r w:rsidRPr="000C349E">
        <w:rPr>
          <w:rStyle w:val="Refdenotaalpie"/>
          <w:sz w:val="28"/>
          <w:szCs w:val="28"/>
        </w:rPr>
        <w:footnoteReference w:id="102"/>
      </w:r>
      <w:r w:rsidR="00B561AC" w:rsidRPr="000C349E">
        <w:rPr>
          <w:sz w:val="28"/>
          <w:szCs w:val="28"/>
        </w:rPr>
        <w:t>:</w:t>
      </w:r>
      <w:r w:rsidR="006926DB" w:rsidRPr="000C349E">
        <w:rPr>
          <w:sz w:val="28"/>
          <w:szCs w:val="28"/>
        </w:rPr>
        <w:t xml:space="preserve"> </w:t>
      </w:r>
    </w:p>
    <w:p w:rsidR="00B561AC" w:rsidRPr="000C349E" w:rsidRDefault="00B561AC" w:rsidP="000C349E">
      <w:pPr>
        <w:jc w:val="both"/>
        <w:rPr>
          <w:sz w:val="28"/>
          <w:szCs w:val="28"/>
        </w:rPr>
      </w:pPr>
    </w:p>
    <w:p w:rsidR="00B561AC" w:rsidRPr="000C349E" w:rsidRDefault="00B561AC" w:rsidP="000C349E">
      <w:pPr>
        <w:ind w:left="227" w:right="227"/>
        <w:jc w:val="both"/>
        <w:rPr>
          <w:sz w:val="28"/>
          <w:szCs w:val="28"/>
        </w:rPr>
      </w:pPr>
      <w:r w:rsidRPr="000C349E">
        <w:rPr>
          <w:sz w:val="28"/>
          <w:szCs w:val="28"/>
        </w:rPr>
        <w:t>(i) E</w:t>
      </w:r>
      <w:r w:rsidR="006926DB" w:rsidRPr="000C349E">
        <w:rPr>
          <w:sz w:val="28"/>
          <w:szCs w:val="28"/>
        </w:rPr>
        <w:t xml:space="preserve">n el término de </w:t>
      </w:r>
      <w:r w:rsidRPr="000C349E">
        <w:rPr>
          <w:sz w:val="28"/>
          <w:szCs w:val="28"/>
        </w:rPr>
        <w:t>48 horas</w:t>
      </w:r>
      <w:r w:rsidR="006926DB" w:rsidRPr="000C349E">
        <w:rPr>
          <w:sz w:val="28"/>
          <w:szCs w:val="28"/>
        </w:rPr>
        <w:t xml:space="preserve">, </w:t>
      </w:r>
      <w:r w:rsidRPr="000C349E">
        <w:rPr>
          <w:sz w:val="28"/>
          <w:szCs w:val="28"/>
        </w:rPr>
        <w:t xml:space="preserve">reactive </w:t>
      </w:r>
      <w:r w:rsidR="00226F48" w:rsidRPr="000C349E">
        <w:rPr>
          <w:sz w:val="28"/>
          <w:szCs w:val="28"/>
        </w:rPr>
        <w:t>las actuaciones dirigidas a atender la situación violencia intrafamiliar que padece el actor</w:t>
      </w:r>
      <w:r w:rsidR="00226F48" w:rsidRPr="000C349E">
        <w:rPr>
          <w:rStyle w:val="Refdenotaalpie"/>
          <w:sz w:val="28"/>
          <w:szCs w:val="28"/>
          <w:vertAlign w:val="baseline"/>
        </w:rPr>
        <w:t xml:space="preserve"> </w:t>
      </w:r>
      <w:r w:rsidR="00066F6F" w:rsidRPr="000C349E">
        <w:rPr>
          <w:rStyle w:val="Refdenotaalpie"/>
          <w:sz w:val="28"/>
          <w:szCs w:val="28"/>
        </w:rPr>
        <w:footnoteReference w:id="103"/>
      </w:r>
      <w:r w:rsidR="00974541" w:rsidRPr="000C349E">
        <w:rPr>
          <w:sz w:val="28"/>
          <w:szCs w:val="28"/>
        </w:rPr>
        <w:t>; y</w:t>
      </w:r>
      <w:r w:rsidRPr="000C349E">
        <w:rPr>
          <w:sz w:val="28"/>
          <w:szCs w:val="28"/>
        </w:rPr>
        <w:t xml:space="preserve"> </w:t>
      </w:r>
    </w:p>
    <w:p w:rsidR="00B561AC" w:rsidRPr="000C349E" w:rsidRDefault="00B561AC" w:rsidP="000C349E">
      <w:pPr>
        <w:ind w:left="227" w:right="227"/>
        <w:jc w:val="both"/>
        <w:rPr>
          <w:sz w:val="28"/>
          <w:szCs w:val="28"/>
        </w:rPr>
      </w:pPr>
    </w:p>
    <w:p w:rsidR="00974541" w:rsidRPr="000C349E" w:rsidRDefault="00B561AC" w:rsidP="000C349E">
      <w:pPr>
        <w:ind w:left="227" w:right="227"/>
        <w:jc w:val="both"/>
        <w:rPr>
          <w:sz w:val="28"/>
          <w:szCs w:val="28"/>
        </w:rPr>
      </w:pPr>
      <w:r w:rsidRPr="000C349E">
        <w:rPr>
          <w:sz w:val="28"/>
          <w:szCs w:val="28"/>
        </w:rPr>
        <w:t>(ii)</w:t>
      </w:r>
      <w:r w:rsidR="00974541" w:rsidRPr="000C349E">
        <w:rPr>
          <w:sz w:val="28"/>
          <w:szCs w:val="28"/>
        </w:rPr>
        <w:t xml:space="preserve"> En el plazo de dos</w:t>
      </w:r>
      <w:r w:rsidRPr="000C349E">
        <w:rPr>
          <w:sz w:val="28"/>
          <w:szCs w:val="28"/>
        </w:rPr>
        <w:t xml:space="preserve"> mes</w:t>
      </w:r>
      <w:r w:rsidR="00974541" w:rsidRPr="000C349E">
        <w:rPr>
          <w:sz w:val="28"/>
          <w:szCs w:val="28"/>
        </w:rPr>
        <w:t>es</w:t>
      </w:r>
      <w:r w:rsidRPr="000C349E">
        <w:rPr>
          <w:sz w:val="28"/>
          <w:szCs w:val="28"/>
        </w:rPr>
        <w:t xml:space="preserve">, </w:t>
      </w:r>
      <w:r w:rsidR="00226F48" w:rsidRPr="000C349E">
        <w:rPr>
          <w:sz w:val="28"/>
          <w:szCs w:val="28"/>
        </w:rPr>
        <w:t>adopte</w:t>
      </w:r>
      <w:r w:rsidRPr="000C349E">
        <w:rPr>
          <w:sz w:val="28"/>
          <w:szCs w:val="28"/>
        </w:rPr>
        <w:t xml:space="preserve"> las medidas de protección necesarias para procurar la inclusión del accionante en los programas con los que cuenta la Secretaría Distrital de Integración Social para facilitar su reincorporación al entorno comunitario y superar su situación de internamiento indefinido</w:t>
      </w:r>
      <w:r w:rsidR="00834C85" w:rsidRPr="000C349E">
        <w:rPr>
          <w:rStyle w:val="Refdenotaalpie"/>
          <w:sz w:val="28"/>
          <w:szCs w:val="28"/>
        </w:rPr>
        <w:footnoteReference w:id="104"/>
      </w:r>
      <w:r w:rsidRPr="000C349E">
        <w:rPr>
          <w:sz w:val="28"/>
          <w:szCs w:val="28"/>
        </w:rPr>
        <w:t>.</w:t>
      </w:r>
      <w:r w:rsidR="00974541" w:rsidRPr="000C349E">
        <w:rPr>
          <w:sz w:val="28"/>
          <w:szCs w:val="28"/>
        </w:rPr>
        <w:t xml:space="preserve"> Lo anterior, sin perjuicio de la responsabilidad de los familiares del actor en caso de que puedan llegar a ser ubicados</w:t>
      </w:r>
      <w:r w:rsidR="00834C85" w:rsidRPr="000C349E">
        <w:rPr>
          <w:rStyle w:val="Refdenotaalpie"/>
          <w:sz w:val="28"/>
          <w:szCs w:val="28"/>
        </w:rPr>
        <w:footnoteReference w:id="105"/>
      </w:r>
      <w:r w:rsidR="00974541" w:rsidRPr="000C349E">
        <w:rPr>
          <w:sz w:val="28"/>
          <w:szCs w:val="28"/>
        </w:rPr>
        <w:t xml:space="preserve">. </w:t>
      </w:r>
    </w:p>
    <w:p w:rsidR="00B561AC" w:rsidRPr="000C349E" w:rsidRDefault="00B561AC" w:rsidP="000C349E">
      <w:pPr>
        <w:ind w:right="227"/>
        <w:jc w:val="both"/>
        <w:rPr>
          <w:sz w:val="28"/>
          <w:szCs w:val="28"/>
        </w:rPr>
      </w:pPr>
    </w:p>
    <w:p w:rsidR="00974541" w:rsidRPr="000C349E" w:rsidRDefault="00834C85" w:rsidP="000C349E">
      <w:pPr>
        <w:jc w:val="both"/>
        <w:rPr>
          <w:sz w:val="28"/>
          <w:szCs w:val="28"/>
        </w:rPr>
      </w:pPr>
      <w:r w:rsidRPr="000C349E">
        <w:rPr>
          <w:sz w:val="28"/>
          <w:szCs w:val="28"/>
        </w:rPr>
        <w:t xml:space="preserve">6.20. </w:t>
      </w:r>
      <w:r w:rsidR="00974541" w:rsidRPr="000C349E">
        <w:rPr>
          <w:sz w:val="28"/>
          <w:szCs w:val="28"/>
        </w:rPr>
        <w:t xml:space="preserve">Adicionalmente, </w:t>
      </w:r>
      <w:r w:rsidRPr="000C349E">
        <w:rPr>
          <w:sz w:val="28"/>
          <w:szCs w:val="28"/>
        </w:rPr>
        <w:t>teniendo en cuenta que las actuaciones que adelant</w:t>
      </w:r>
      <w:r w:rsidR="00431915" w:rsidRPr="000C349E">
        <w:rPr>
          <w:sz w:val="28"/>
          <w:szCs w:val="28"/>
        </w:rPr>
        <w:t>ó</w:t>
      </w:r>
      <w:r w:rsidRPr="000C349E">
        <w:rPr>
          <w:sz w:val="28"/>
          <w:szCs w:val="28"/>
        </w:rPr>
        <w:t xml:space="preserve"> la Comisaría Sexta de Familia de Bogotá para superar el escenario de violencia intrafamiliar que padece Ángel Abad Hoyos Fernández se vieron afectadas debido a la falta de colaboración</w:t>
      </w:r>
      <w:r w:rsidR="00431915" w:rsidRPr="000C349E">
        <w:rPr>
          <w:sz w:val="28"/>
          <w:szCs w:val="28"/>
        </w:rPr>
        <w:t xml:space="preserve"> oportuna</w:t>
      </w:r>
      <w:r w:rsidRPr="000C349E">
        <w:rPr>
          <w:sz w:val="28"/>
          <w:szCs w:val="28"/>
        </w:rPr>
        <w:t xml:space="preserve"> de </w:t>
      </w:r>
      <w:r w:rsidR="00974541" w:rsidRPr="000C349E">
        <w:rPr>
          <w:sz w:val="28"/>
          <w:szCs w:val="28"/>
        </w:rPr>
        <w:t>Proseguir IPS</w:t>
      </w:r>
      <w:r w:rsidRPr="000C349E">
        <w:rPr>
          <w:rStyle w:val="Refdenotaalpie"/>
          <w:sz w:val="28"/>
          <w:szCs w:val="28"/>
        </w:rPr>
        <w:footnoteReference w:id="106"/>
      </w:r>
      <w:r w:rsidRPr="000C349E">
        <w:rPr>
          <w:sz w:val="28"/>
          <w:szCs w:val="28"/>
        </w:rPr>
        <w:t>, la</w:t>
      </w:r>
      <w:r w:rsidR="002B2B9A" w:rsidRPr="000C349E">
        <w:rPr>
          <w:sz w:val="28"/>
          <w:szCs w:val="28"/>
        </w:rPr>
        <w:t xml:space="preserve"> Corte </w:t>
      </w:r>
      <w:r w:rsidRPr="000C349E">
        <w:rPr>
          <w:sz w:val="28"/>
          <w:szCs w:val="28"/>
        </w:rPr>
        <w:t>exhortará</w:t>
      </w:r>
      <w:r w:rsidR="00974541" w:rsidRPr="000C349E">
        <w:rPr>
          <w:sz w:val="28"/>
          <w:szCs w:val="28"/>
        </w:rPr>
        <w:t xml:space="preserve"> </w:t>
      </w:r>
      <w:r w:rsidR="002B2B9A" w:rsidRPr="000C349E">
        <w:rPr>
          <w:sz w:val="28"/>
          <w:szCs w:val="28"/>
        </w:rPr>
        <w:t xml:space="preserve">a dicha institución </w:t>
      </w:r>
      <w:r w:rsidR="00974541" w:rsidRPr="000C349E">
        <w:rPr>
          <w:sz w:val="28"/>
          <w:szCs w:val="28"/>
        </w:rPr>
        <w:t>para que facilite la info</w:t>
      </w:r>
      <w:r w:rsidRPr="000C349E">
        <w:rPr>
          <w:sz w:val="28"/>
          <w:szCs w:val="28"/>
        </w:rPr>
        <w:t xml:space="preserve">rmación y el apoyo que </w:t>
      </w:r>
      <w:r w:rsidR="002B2B9A" w:rsidRPr="000C349E">
        <w:rPr>
          <w:sz w:val="28"/>
          <w:szCs w:val="28"/>
        </w:rPr>
        <w:t>la referida</w:t>
      </w:r>
      <w:r w:rsidRPr="000C349E">
        <w:rPr>
          <w:sz w:val="28"/>
          <w:szCs w:val="28"/>
        </w:rPr>
        <w:t xml:space="preserve"> autoridad requiera para </w:t>
      </w:r>
      <w:r w:rsidR="002B2B9A" w:rsidRPr="000C349E">
        <w:rPr>
          <w:sz w:val="28"/>
          <w:szCs w:val="28"/>
        </w:rPr>
        <w:t>cumplir sus funciones</w:t>
      </w:r>
      <w:r w:rsidRPr="000C349E">
        <w:rPr>
          <w:sz w:val="28"/>
          <w:szCs w:val="28"/>
        </w:rPr>
        <w:t>.</w:t>
      </w:r>
      <w:r w:rsidR="00F5458D" w:rsidRPr="000C349E">
        <w:rPr>
          <w:sz w:val="28"/>
          <w:szCs w:val="28"/>
        </w:rPr>
        <w:t xml:space="preserve"> </w:t>
      </w:r>
    </w:p>
    <w:p w:rsidR="00834C85" w:rsidRPr="000C349E" w:rsidRDefault="00834C85" w:rsidP="000C349E">
      <w:pPr>
        <w:jc w:val="both"/>
        <w:rPr>
          <w:sz w:val="28"/>
          <w:szCs w:val="28"/>
        </w:rPr>
      </w:pPr>
    </w:p>
    <w:p w:rsidR="00974541" w:rsidRPr="000C349E" w:rsidRDefault="00834C85" w:rsidP="000C349E">
      <w:pPr>
        <w:jc w:val="both"/>
        <w:rPr>
          <w:sz w:val="28"/>
          <w:szCs w:val="28"/>
        </w:rPr>
      </w:pPr>
      <w:r w:rsidRPr="000C349E">
        <w:rPr>
          <w:sz w:val="28"/>
          <w:szCs w:val="28"/>
        </w:rPr>
        <w:t>6.21. De manera similar</w:t>
      </w:r>
      <w:r w:rsidR="00974541" w:rsidRPr="000C349E">
        <w:rPr>
          <w:sz w:val="28"/>
          <w:szCs w:val="28"/>
        </w:rPr>
        <w:t xml:space="preserve">, este Tribunal </w:t>
      </w:r>
      <w:r w:rsidR="0033540A" w:rsidRPr="000C349E">
        <w:rPr>
          <w:sz w:val="28"/>
          <w:szCs w:val="28"/>
        </w:rPr>
        <w:t xml:space="preserve">le ordenará </w:t>
      </w:r>
      <w:r w:rsidR="00431915" w:rsidRPr="000C349E">
        <w:rPr>
          <w:sz w:val="28"/>
          <w:szCs w:val="28"/>
        </w:rPr>
        <w:t xml:space="preserve">a la Personaría de Bogotá </w:t>
      </w:r>
      <w:r w:rsidR="00974541" w:rsidRPr="000C349E">
        <w:rPr>
          <w:sz w:val="28"/>
          <w:szCs w:val="28"/>
        </w:rPr>
        <w:t>que, en el marco de sus competencias</w:t>
      </w:r>
      <w:r w:rsidRPr="000C349E">
        <w:rPr>
          <w:rStyle w:val="Refdenotaalpie"/>
          <w:sz w:val="28"/>
          <w:szCs w:val="28"/>
        </w:rPr>
        <w:footnoteReference w:id="107"/>
      </w:r>
      <w:r w:rsidR="00974541" w:rsidRPr="000C349E">
        <w:rPr>
          <w:sz w:val="28"/>
          <w:szCs w:val="28"/>
        </w:rPr>
        <w:t>, realice el seguimiento al cumplimiento de la presente providencia, así como proceda a contactar a</w:t>
      </w:r>
      <w:r w:rsidR="00431915" w:rsidRPr="000C349E">
        <w:rPr>
          <w:sz w:val="28"/>
          <w:szCs w:val="28"/>
        </w:rPr>
        <w:t>l</w:t>
      </w:r>
      <w:r w:rsidR="00974541" w:rsidRPr="000C349E">
        <w:rPr>
          <w:sz w:val="28"/>
          <w:szCs w:val="28"/>
        </w:rPr>
        <w:t xml:space="preserve"> ciudadano Ángel Abad Hoyos Fernández con el fin de instruirlo y apoyarlo en el ejercicio de sus derechos</w:t>
      </w:r>
      <w:r w:rsidRPr="000C349E">
        <w:rPr>
          <w:rStyle w:val="Refdenotaalpie"/>
          <w:sz w:val="28"/>
          <w:szCs w:val="28"/>
        </w:rPr>
        <w:footnoteReference w:id="108"/>
      </w:r>
      <w:r w:rsidR="00974541" w:rsidRPr="000C349E">
        <w:rPr>
          <w:sz w:val="28"/>
          <w:szCs w:val="28"/>
        </w:rPr>
        <w:t>.</w:t>
      </w:r>
      <w:r w:rsidR="001076DF" w:rsidRPr="000C349E">
        <w:rPr>
          <w:sz w:val="28"/>
          <w:szCs w:val="28"/>
        </w:rPr>
        <w:t xml:space="preserve"> </w:t>
      </w:r>
    </w:p>
    <w:p w:rsidR="00974541" w:rsidRPr="000C349E" w:rsidRDefault="00974541" w:rsidP="000C349E">
      <w:pPr>
        <w:jc w:val="both"/>
        <w:rPr>
          <w:sz w:val="28"/>
          <w:szCs w:val="28"/>
        </w:rPr>
      </w:pPr>
    </w:p>
    <w:p w:rsidR="006F73DB" w:rsidRPr="000C349E" w:rsidRDefault="00834C85" w:rsidP="000C349E">
      <w:pPr>
        <w:jc w:val="both"/>
        <w:rPr>
          <w:bCs/>
          <w:sz w:val="28"/>
          <w:szCs w:val="28"/>
        </w:rPr>
      </w:pPr>
      <w:r w:rsidRPr="000C349E">
        <w:rPr>
          <w:sz w:val="28"/>
          <w:szCs w:val="28"/>
        </w:rPr>
        <w:t xml:space="preserve">6.22. </w:t>
      </w:r>
      <w:r w:rsidR="00974541" w:rsidRPr="000C349E">
        <w:rPr>
          <w:sz w:val="28"/>
          <w:szCs w:val="28"/>
        </w:rPr>
        <w:t xml:space="preserve">Por lo demás, </w:t>
      </w:r>
      <w:r w:rsidRPr="000C349E">
        <w:rPr>
          <w:sz w:val="28"/>
          <w:szCs w:val="28"/>
        </w:rPr>
        <w:t xml:space="preserve">esta Corporación </w:t>
      </w:r>
      <w:r w:rsidR="00F5458D" w:rsidRPr="000C349E">
        <w:rPr>
          <w:sz w:val="28"/>
          <w:szCs w:val="28"/>
        </w:rPr>
        <w:t xml:space="preserve">le </w:t>
      </w:r>
      <w:r w:rsidRPr="000C349E">
        <w:rPr>
          <w:sz w:val="28"/>
          <w:szCs w:val="28"/>
        </w:rPr>
        <w:t>remitirá</w:t>
      </w:r>
      <w:r w:rsidR="006F73DB" w:rsidRPr="000C349E">
        <w:rPr>
          <w:sz w:val="28"/>
          <w:szCs w:val="28"/>
        </w:rPr>
        <w:t xml:space="preserve"> a la Oficina de Archivo de la Sede Judicial Hernando Morales Molina de Bogotá el expediente con número de radicado 11001-40-03-038-2015-01584-00, el cual fue </w:t>
      </w:r>
      <w:r w:rsidR="002B2B9A" w:rsidRPr="000C349E">
        <w:rPr>
          <w:sz w:val="28"/>
          <w:szCs w:val="28"/>
        </w:rPr>
        <w:t xml:space="preserve">allegado </w:t>
      </w:r>
      <w:r w:rsidR="006F73DB" w:rsidRPr="000C349E">
        <w:rPr>
          <w:sz w:val="28"/>
          <w:szCs w:val="28"/>
        </w:rPr>
        <w:t>en calidad de préstamo al despacho del magistrado ponente</w:t>
      </w:r>
      <w:r w:rsidRPr="000C349E">
        <w:rPr>
          <w:rStyle w:val="Refdenotaalpie"/>
          <w:sz w:val="28"/>
          <w:szCs w:val="28"/>
        </w:rPr>
        <w:footnoteReference w:id="109"/>
      </w:r>
      <w:r w:rsidR="006F73DB" w:rsidRPr="000C349E">
        <w:rPr>
          <w:sz w:val="28"/>
          <w:szCs w:val="28"/>
        </w:rPr>
        <w:t xml:space="preserve">. </w:t>
      </w:r>
    </w:p>
    <w:p w:rsidR="00B561AC" w:rsidRPr="000C349E" w:rsidRDefault="00B561AC" w:rsidP="000C349E">
      <w:pPr>
        <w:jc w:val="both"/>
        <w:rPr>
          <w:sz w:val="28"/>
          <w:szCs w:val="28"/>
        </w:rPr>
      </w:pPr>
      <w:r w:rsidRPr="000C349E">
        <w:rPr>
          <w:sz w:val="28"/>
          <w:szCs w:val="28"/>
        </w:rPr>
        <w:t xml:space="preserve"> </w:t>
      </w:r>
    </w:p>
    <w:p w:rsidR="00FA1D5A" w:rsidRPr="000C349E" w:rsidRDefault="00FA1D5A" w:rsidP="000C349E">
      <w:pPr>
        <w:jc w:val="both"/>
        <w:rPr>
          <w:b/>
          <w:sz w:val="28"/>
          <w:szCs w:val="28"/>
        </w:rPr>
      </w:pPr>
      <w:r w:rsidRPr="000C349E">
        <w:rPr>
          <w:b/>
          <w:sz w:val="28"/>
          <w:szCs w:val="28"/>
        </w:rPr>
        <w:t>I</w:t>
      </w:r>
      <w:r w:rsidR="002A1F8A" w:rsidRPr="000C349E">
        <w:rPr>
          <w:b/>
          <w:sz w:val="28"/>
          <w:szCs w:val="28"/>
        </w:rPr>
        <w:t>V</w:t>
      </w:r>
      <w:r w:rsidRPr="000C349E">
        <w:rPr>
          <w:b/>
          <w:sz w:val="28"/>
          <w:szCs w:val="28"/>
        </w:rPr>
        <w:t xml:space="preserve">. DECISIÓN </w:t>
      </w:r>
    </w:p>
    <w:p w:rsidR="00FA1D5A" w:rsidRPr="000C349E" w:rsidRDefault="00FA1D5A" w:rsidP="000C349E">
      <w:pPr>
        <w:jc w:val="both"/>
        <w:rPr>
          <w:sz w:val="28"/>
          <w:szCs w:val="28"/>
        </w:rPr>
      </w:pPr>
    </w:p>
    <w:p w:rsidR="00FA1D5A" w:rsidRPr="000C349E" w:rsidRDefault="00FA1D5A" w:rsidP="000C349E">
      <w:pPr>
        <w:jc w:val="both"/>
        <w:rPr>
          <w:sz w:val="28"/>
          <w:szCs w:val="28"/>
        </w:rPr>
      </w:pPr>
      <w:r w:rsidRPr="000C349E">
        <w:rPr>
          <w:sz w:val="28"/>
          <w:szCs w:val="28"/>
        </w:rPr>
        <w:t>En mérito de lo expuesto, la Sala Tercera de Revisión de la Corte Constitucional, administrando justicia en nombre del pueblo y por mandato de la Constitución,</w:t>
      </w:r>
    </w:p>
    <w:p w:rsidR="00FA1D5A" w:rsidRPr="000C349E" w:rsidRDefault="00FA1D5A" w:rsidP="000C349E">
      <w:pPr>
        <w:jc w:val="both"/>
        <w:rPr>
          <w:sz w:val="28"/>
          <w:szCs w:val="28"/>
        </w:rPr>
      </w:pPr>
    </w:p>
    <w:p w:rsidR="00FA1D5A" w:rsidRPr="000C349E" w:rsidRDefault="00FA1D5A" w:rsidP="000C349E">
      <w:pPr>
        <w:jc w:val="center"/>
        <w:rPr>
          <w:b/>
          <w:sz w:val="28"/>
          <w:szCs w:val="28"/>
        </w:rPr>
      </w:pPr>
      <w:r w:rsidRPr="000C349E">
        <w:rPr>
          <w:b/>
          <w:sz w:val="28"/>
          <w:szCs w:val="28"/>
        </w:rPr>
        <w:t>RESUELVE</w:t>
      </w:r>
    </w:p>
    <w:p w:rsidR="00E305C0" w:rsidRDefault="00E305C0" w:rsidP="000C349E">
      <w:pPr>
        <w:jc w:val="center"/>
        <w:rPr>
          <w:b/>
          <w:sz w:val="28"/>
          <w:szCs w:val="28"/>
        </w:rPr>
      </w:pPr>
    </w:p>
    <w:p w:rsidR="000C349E" w:rsidRPr="000C349E" w:rsidRDefault="000C349E" w:rsidP="000C349E">
      <w:pPr>
        <w:jc w:val="center"/>
        <w:rPr>
          <w:b/>
          <w:sz w:val="28"/>
          <w:szCs w:val="28"/>
        </w:rPr>
      </w:pPr>
    </w:p>
    <w:p w:rsidR="007509D2" w:rsidRPr="000C349E" w:rsidRDefault="00226F48" w:rsidP="000C349E">
      <w:pPr>
        <w:jc w:val="both"/>
        <w:rPr>
          <w:sz w:val="28"/>
          <w:szCs w:val="28"/>
        </w:rPr>
      </w:pPr>
      <w:r w:rsidRPr="000C349E">
        <w:rPr>
          <w:b/>
          <w:sz w:val="28"/>
          <w:szCs w:val="28"/>
        </w:rPr>
        <w:t xml:space="preserve">PRIMERO.- REVOCAR </w:t>
      </w:r>
      <w:r w:rsidR="008C17BA" w:rsidRPr="000C349E">
        <w:rPr>
          <w:sz w:val="28"/>
          <w:szCs w:val="28"/>
        </w:rPr>
        <w:t xml:space="preserve">los fallos proferidos por el Juzgado Veinte de Pequeñas Causas y Competencia Múltiple de Bogotá, el 3 de agosto de 2018, y por el Juzgado Quinto Civil del Circuito de la misma ciudad, el 11 de septiembre de la referida anualidad, que denegaron </w:t>
      </w:r>
      <w:r w:rsidR="00FD789B" w:rsidRPr="000C349E">
        <w:rPr>
          <w:sz w:val="28"/>
          <w:szCs w:val="28"/>
        </w:rPr>
        <w:t>la protección constitucional deprecada dentro del proceso d</w:t>
      </w:r>
      <w:r w:rsidR="007509D2" w:rsidRPr="000C349E">
        <w:rPr>
          <w:sz w:val="28"/>
          <w:szCs w:val="28"/>
        </w:rPr>
        <w:t>e la referencia; y, en su lugar:</w:t>
      </w:r>
    </w:p>
    <w:p w:rsidR="007509D2" w:rsidRPr="000C349E" w:rsidRDefault="007509D2" w:rsidP="000C349E">
      <w:pPr>
        <w:jc w:val="both"/>
        <w:rPr>
          <w:sz w:val="28"/>
          <w:szCs w:val="28"/>
        </w:rPr>
      </w:pPr>
    </w:p>
    <w:p w:rsidR="008C17BA" w:rsidRPr="000C349E" w:rsidRDefault="007509D2" w:rsidP="000C349E">
      <w:pPr>
        <w:ind w:left="227" w:right="227"/>
        <w:jc w:val="both"/>
        <w:rPr>
          <w:sz w:val="28"/>
          <w:szCs w:val="28"/>
        </w:rPr>
      </w:pPr>
      <w:r w:rsidRPr="000C349E">
        <w:rPr>
          <w:b/>
          <w:sz w:val="28"/>
          <w:szCs w:val="28"/>
        </w:rPr>
        <w:t>(i)</w:t>
      </w:r>
      <w:r w:rsidRPr="000C349E">
        <w:rPr>
          <w:sz w:val="28"/>
          <w:szCs w:val="28"/>
        </w:rPr>
        <w:t xml:space="preserve"> </w:t>
      </w:r>
      <w:r w:rsidR="00FD789B" w:rsidRPr="000C349E">
        <w:rPr>
          <w:b/>
          <w:sz w:val="28"/>
          <w:szCs w:val="28"/>
        </w:rPr>
        <w:t xml:space="preserve">DECLARAR IMPROCEDENTE </w:t>
      </w:r>
      <w:r w:rsidR="00FD789B" w:rsidRPr="000C349E">
        <w:rPr>
          <w:sz w:val="28"/>
          <w:szCs w:val="28"/>
        </w:rPr>
        <w:t xml:space="preserve">el referido amparo por </w:t>
      </w:r>
      <w:r w:rsidR="00175A5C" w:rsidRPr="000C349E">
        <w:rPr>
          <w:sz w:val="28"/>
          <w:szCs w:val="28"/>
        </w:rPr>
        <w:t>falta de legitimación en la causa</w:t>
      </w:r>
      <w:r w:rsidR="00226F48" w:rsidRPr="000C349E">
        <w:rPr>
          <w:sz w:val="28"/>
          <w:szCs w:val="28"/>
        </w:rPr>
        <w:t xml:space="preserve"> por pasiva de María del Pilar Jiménez Rodríguez, José Domingo</w:t>
      </w:r>
      <w:r w:rsidR="00AB4A88" w:rsidRPr="000C349E">
        <w:rPr>
          <w:sz w:val="28"/>
          <w:szCs w:val="28"/>
        </w:rPr>
        <w:t xml:space="preserve"> Martínez Rincón</w:t>
      </w:r>
      <w:r w:rsidR="00226F48" w:rsidRPr="000C349E">
        <w:rPr>
          <w:sz w:val="28"/>
          <w:szCs w:val="28"/>
        </w:rPr>
        <w:t>, Jenny Mireya Rodríguez, Paula Andrea Jiménez Rodríguez e Isabella Hoyos Jiménez.</w:t>
      </w:r>
    </w:p>
    <w:p w:rsidR="00226F48" w:rsidRPr="000C349E" w:rsidRDefault="00226F48" w:rsidP="000C349E">
      <w:pPr>
        <w:ind w:left="227" w:right="227"/>
        <w:jc w:val="both"/>
        <w:rPr>
          <w:sz w:val="28"/>
          <w:szCs w:val="28"/>
        </w:rPr>
      </w:pPr>
    </w:p>
    <w:p w:rsidR="00226F48" w:rsidRPr="000C349E" w:rsidRDefault="002B2B9A" w:rsidP="000C349E">
      <w:pPr>
        <w:ind w:left="227" w:right="227"/>
        <w:jc w:val="both"/>
        <w:rPr>
          <w:sz w:val="28"/>
          <w:szCs w:val="28"/>
        </w:rPr>
      </w:pPr>
      <w:r w:rsidRPr="000C349E">
        <w:rPr>
          <w:b/>
          <w:sz w:val="28"/>
          <w:szCs w:val="28"/>
        </w:rPr>
        <w:t>(ii</w:t>
      </w:r>
      <w:r w:rsidR="00226F48" w:rsidRPr="000C349E">
        <w:rPr>
          <w:b/>
          <w:sz w:val="28"/>
          <w:szCs w:val="28"/>
        </w:rPr>
        <w:t>) TUTELAR</w:t>
      </w:r>
      <w:r w:rsidR="00226F48" w:rsidRPr="000C349E">
        <w:rPr>
          <w:sz w:val="28"/>
          <w:szCs w:val="28"/>
        </w:rPr>
        <w:t xml:space="preserve"> el derecho a la vida diga de Ángel Abad Hoyos Fernández, en virtud de las facultades </w:t>
      </w:r>
      <w:r w:rsidR="00226F48" w:rsidRPr="000C349E">
        <w:rPr>
          <w:i/>
          <w:sz w:val="28"/>
          <w:szCs w:val="28"/>
        </w:rPr>
        <w:t>ultra</w:t>
      </w:r>
      <w:r w:rsidR="00226F48" w:rsidRPr="000C349E">
        <w:rPr>
          <w:sz w:val="28"/>
          <w:szCs w:val="28"/>
        </w:rPr>
        <w:t xml:space="preserve"> y </w:t>
      </w:r>
      <w:r w:rsidR="00226F48" w:rsidRPr="000C349E">
        <w:rPr>
          <w:i/>
          <w:sz w:val="28"/>
          <w:szCs w:val="28"/>
        </w:rPr>
        <w:t>extra petita</w:t>
      </w:r>
      <w:r w:rsidR="00226F48" w:rsidRPr="000C349E">
        <w:rPr>
          <w:sz w:val="28"/>
          <w:szCs w:val="28"/>
        </w:rPr>
        <w:t xml:space="preserve"> del juez constitucional. </w:t>
      </w:r>
    </w:p>
    <w:p w:rsidR="00FD789B" w:rsidRPr="000C349E" w:rsidRDefault="00FD789B" w:rsidP="000C349E">
      <w:pPr>
        <w:jc w:val="both"/>
        <w:rPr>
          <w:sz w:val="28"/>
          <w:szCs w:val="28"/>
        </w:rPr>
      </w:pPr>
    </w:p>
    <w:p w:rsidR="00226F48" w:rsidRPr="000C349E" w:rsidRDefault="00226F48" w:rsidP="000C349E">
      <w:pPr>
        <w:widowControl w:val="0"/>
        <w:jc w:val="both"/>
        <w:rPr>
          <w:bCs/>
          <w:sz w:val="28"/>
          <w:szCs w:val="28"/>
          <w:bdr w:val="none" w:sz="0" w:space="0" w:color="auto" w:frame="1"/>
          <w:lang w:val="es-CO" w:eastAsia="es-CO"/>
        </w:rPr>
      </w:pPr>
      <w:r w:rsidRPr="000C349E">
        <w:rPr>
          <w:b/>
          <w:bCs/>
          <w:sz w:val="28"/>
          <w:szCs w:val="28"/>
          <w:bdr w:val="none" w:sz="0" w:space="0" w:color="auto" w:frame="1"/>
          <w:lang w:eastAsia="es-CO"/>
        </w:rPr>
        <w:t>SEGUNDO</w:t>
      </w:r>
      <w:r w:rsidRPr="000C349E">
        <w:rPr>
          <w:b/>
          <w:bCs/>
          <w:sz w:val="28"/>
          <w:szCs w:val="28"/>
          <w:bdr w:val="none" w:sz="0" w:space="0" w:color="auto" w:frame="1"/>
          <w:lang w:val="es-CO" w:eastAsia="es-CO"/>
        </w:rPr>
        <w:t>.-</w:t>
      </w:r>
      <w:r w:rsidRPr="000C349E">
        <w:rPr>
          <w:bCs/>
          <w:sz w:val="28"/>
          <w:szCs w:val="28"/>
          <w:bdr w:val="none" w:sz="0" w:space="0" w:color="auto" w:frame="1"/>
          <w:lang w:val="es-CO" w:eastAsia="es-CO"/>
        </w:rPr>
        <w:t xml:space="preserve"> </w:t>
      </w:r>
      <w:r w:rsidRPr="000C349E">
        <w:rPr>
          <w:b/>
          <w:bCs/>
          <w:sz w:val="28"/>
          <w:szCs w:val="28"/>
          <w:bdr w:val="none" w:sz="0" w:space="0" w:color="auto" w:frame="1"/>
          <w:lang w:val="es-CO" w:eastAsia="es-CO"/>
        </w:rPr>
        <w:t>ORDENAR</w:t>
      </w:r>
      <w:r w:rsidRPr="000C349E">
        <w:rPr>
          <w:bCs/>
          <w:sz w:val="28"/>
          <w:szCs w:val="28"/>
          <w:bdr w:val="none" w:sz="0" w:space="0" w:color="auto" w:frame="1"/>
          <w:lang w:val="es-CO" w:eastAsia="es-CO"/>
        </w:rPr>
        <w:t xml:space="preserve"> a la Comisaria Sexta de Familia de Bogotá que, en ejercicio de sus competencias legales, proceda: </w:t>
      </w:r>
    </w:p>
    <w:p w:rsidR="00226F48" w:rsidRPr="000C349E" w:rsidRDefault="00226F48" w:rsidP="000C349E">
      <w:pPr>
        <w:widowControl w:val="0"/>
        <w:jc w:val="both"/>
        <w:rPr>
          <w:bCs/>
          <w:sz w:val="28"/>
          <w:szCs w:val="28"/>
          <w:bdr w:val="none" w:sz="0" w:space="0" w:color="auto" w:frame="1"/>
          <w:lang w:val="es-CO" w:eastAsia="es-CO"/>
        </w:rPr>
      </w:pPr>
    </w:p>
    <w:p w:rsidR="00226F48" w:rsidRPr="000C349E" w:rsidRDefault="00226F48" w:rsidP="000C349E">
      <w:pPr>
        <w:widowControl w:val="0"/>
        <w:ind w:left="227" w:right="227"/>
        <w:jc w:val="both"/>
        <w:rPr>
          <w:bCs/>
          <w:sz w:val="28"/>
          <w:szCs w:val="28"/>
          <w:bdr w:val="none" w:sz="0" w:space="0" w:color="auto" w:frame="1"/>
          <w:lang w:val="es-CO" w:eastAsia="es-CO"/>
        </w:rPr>
      </w:pPr>
      <w:r w:rsidRPr="000C349E">
        <w:rPr>
          <w:b/>
          <w:bCs/>
          <w:sz w:val="28"/>
          <w:szCs w:val="28"/>
          <w:bdr w:val="none" w:sz="0" w:space="0" w:color="auto" w:frame="1"/>
          <w:lang w:val="es-CO" w:eastAsia="es-CO"/>
        </w:rPr>
        <w:t xml:space="preserve">(i) </w:t>
      </w:r>
      <w:r w:rsidRPr="000C349E">
        <w:rPr>
          <w:bCs/>
          <w:sz w:val="28"/>
          <w:szCs w:val="28"/>
          <w:bdr w:val="none" w:sz="0" w:space="0" w:color="auto" w:frame="1"/>
          <w:lang w:val="es-CO" w:eastAsia="es-CO"/>
        </w:rPr>
        <w:t xml:space="preserve">En el término de cuarenta y ocho (48) horas, a reactivar las actuaciones dirigidas a atender la situación violencia intrafamiliar que padece el actor; y </w:t>
      </w:r>
    </w:p>
    <w:p w:rsidR="00226F48" w:rsidRPr="000C349E" w:rsidRDefault="00226F48" w:rsidP="000C349E">
      <w:pPr>
        <w:widowControl w:val="0"/>
        <w:ind w:left="227" w:right="227"/>
        <w:jc w:val="both"/>
        <w:rPr>
          <w:bCs/>
          <w:sz w:val="28"/>
          <w:szCs w:val="28"/>
          <w:bdr w:val="none" w:sz="0" w:space="0" w:color="auto" w:frame="1"/>
          <w:lang w:val="es-CO" w:eastAsia="es-CO"/>
        </w:rPr>
      </w:pPr>
    </w:p>
    <w:p w:rsidR="007509D2" w:rsidRPr="000C349E" w:rsidRDefault="00226F48" w:rsidP="000C349E">
      <w:pPr>
        <w:widowControl w:val="0"/>
        <w:ind w:left="227" w:right="227"/>
        <w:jc w:val="both"/>
        <w:rPr>
          <w:bCs/>
          <w:sz w:val="28"/>
          <w:szCs w:val="28"/>
          <w:bdr w:val="none" w:sz="0" w:space="0" w:color="auto" w:frame="1"/>
          <w:lang w:val="es-CO" w:eastAsia="es-CO"/>
        </w:rPr>
      </w:pPr>
      <w:r w:rsidRPr="000C349E">
        <w:rPr>
          <w:b/>
          <w:bCs/>
          <w:sz w:val="28"/>
          <w:szCs w:val="28"/>
          <w:bdr w:val="none" w:sz="0" w:space="0" w:color="auto" w:frame="1"/>
          <w:lang w:val="es-CO" w:eastAsia="es-CO"/>
        </w:rPr>
        <w:t>(ii)</w:t>
      </w:r>
      <w:r w:rsidRPr="000C349E">
        <w:rPr>
          <w:bCs/>
          <w:sz w:val="28"/>
          <w:szCs w:val="28"/>
          <w:bdr w:val="none" w:sz="0" w:space="0" w:color="auto" w:frame="1"/>
          <w:lang w:val="es-CO" w:eastAsia="es-CO"/>
        </w:rPr>
        <w:t xml:space="preserve"> En el plazo de dos (2) meses, a adoptar las medidas de protección necesarias para procurar la inclusión del accionante en los programas con los que cuenta la Secretaría Distrital de Integración Social para facilitar su reincorporación al entorno comunitario y superar su situación de internamiento indefinido. Lo anterior, sin perjuicio de la responsabilidad de los familiares del actor en caso de que puedan llegar a ser ubicados.</w:t>
      </w:r>
    </w:p>
    <w:p w:rsidR="007509D2" w:rsidRPr="000C349E" w:rsidRDefault="007509D2" w:rsidP="000C349E">
      <w:pPr>
        <w:widowControl w:val="0"/>
        <w:jc w:val="both"/>
        <w:rPr>
          <w:bCs/>
          <w:sz w:val="28"/>
          <w:szCs w:val="28"/>
          <w:bdr w:val="none" w:sz="0" w:space="0" w:color="auto" w:frame="1"/>
          <w:lang w:val="es-CO" w:eastAsia="es-CO"/>
        </w:rPr>
      </w:pPr>
    </w:p>
    <w:p w:rsidR="007509D2" w:rsidRPr="000C349E" w:rsidRDefault="00226F48" w:rsidP="000C349E">
      <w:pPr>
        <w:widowControl w:val="0"/>
        <w:jc w:val="both"/>
        <w:rPr>
          <w:bCs/>
          <w:sz w:val="28"/>
          <w:szCs w:val="28"/>
          <w:bdr w:val="none" w:sz="0" w:space="0" w:color="auto" w:frame="1"/>
          <w:lang w:val="es-CO" w:eastAsia="es-CO"/>
        </w:rPr>
      </w:pPr>
      <w:r w:rsidRPr="000C349E">
        <w:rPr>
          <w:b/>
          <w:bCs/>
          <w:sz w:val="28"/>
          <w:szCs w:val="28"/>
          <w:bdr w:val="none" w:sz="0" w:space="0" w:color="auto" w:frame="1"/>
          <w:lang w:val="es-CO" w:eastAsia="es-CO"/>
        </w:rPr>
        <w:t xml:space="preserve">TERCERO.- EXHORTAR </w:t>
      </w:r>
      <w:r w:rsidRPr="000C349E">
        <w:rPr>
          <w:bCs/>
          <w:sz w:val="28"/>
          <w:szCs w:val="28"/>
          <w:bdr w:val="none" w:sz="0" w:space="0" w:color="auto" w:frame="1"/>
          <w:lang w:val="es-CO" w:eastAsia="es-CO"/>
        </w:rPr>
        <w:t>a</w:t>
      </w:r>
      <w:r w:rsidRPr="000C349E">
        <w:rPr>
          <w:sz w:val="28"/>
          <w:szCs w:val="28"/>
        </w:rPr>
        <w:t xml:space="preserve"> </w:t>
      </w:r>
      <w:r w:rsidRPr="000C349E">
        <w:rPr>
          <w:bCs/>
          <w:sz w:val="28"/>
          <w:szCs w:val="28"/>
          <w:bdr w:val="none" w:sz="0" w:space="0" w:color="auto" w:frame="1"/>
          <w:lang w:val="es-CO" w:eastAsia="es-CO"/>
        </w:rPr>
        <w:t>Proseguir IPS para que facilite la información y el apoyo que requiera la Comisaría Sexta de Familia de Bogotá en el marco de las actuaciones que adelanta para superar el escenario de violencia intrafamiliar en el que se encuentra Ángel Abad Hoyos Fernández.</w:t>
      </w:r>
    </w:p>
    <w:p w:rsidR="007509D2" w:rsidRPr="000C349E" w:rsidRDefault="007509D2" w:rsidP="000C349E">
      <w:pPr>
        <w:widowControl w:val="0"/>
        <w:jc w:val="both"/>
        <w:rPr>
          <w:b/>
          <w:bCs/>
          <w:sz w:val="28"/>
          <w:szCs w:val="28"/>
          <w:bdr w:val="none" w:sz="0" w:space="0" w:color="auto" w:frame="1"/>
          <w:lang w:val="es-CO" w:eastAsia="es-CO"/>
        </w:rPr>
      </w:pPr>
    </w:p>
    <w:p w:rsidR="0033540A" w:rsidRPr="000C349E" w:rsidRDefault="0033540A" w:rsidP="000C349E">
      <w:pPr>
        <w:jc w:val="both"/>
        <w:rPr>
          <w:bCs/>
          <w:sz w:val="28"/>
          <w:szCs w:val="28"/>
          <w:bdr w:val="none" w:sz="0" w:space="0" w:color="auto" w:frame="1"/>
          <w:lang w:val="es-CO" w:eastAsia="es-CO"/>
        </w:rPr>
      </w:pPr>
      <w:r w:rsidRPr="000C349E">
        <w:rPr>
          <w:b/>
          <w:bCs/>
          <w:sz w:val="28"/>
          <w:szCs w:val="28"/>
          <w:bdr w:val="none" w:sz="0" w:space="0" w:color="auto" w:frame="1"/>
          <w:lang w:val="es-CO" w:eastAsia="es-CO"/>
        </w:rPr>
        <w:t>CUARTO.- ORDENAR</w:t>
      </w:r>
      <w:r w:rsidRPr="000C349E">
        <w:rPr>
          <w:bCs/>
          <w:sz w:val="28"/>
          <w:szCs w:val="28"/>
          <w:bdr w:val="none" w:sz="0" w:space="0" w:color="auto" w:frame="1"/>
          <w:lang w:val="es-CO" w:eastAsia="es-CO"/>
        </w:rPr>
        <w:t xml:space="preserve"> a</w:t>
      </w:r>
      <w:r w:rsidR="00F5458D" w:rsidRPr="000C349E">
        <w:rPr>
          <w:bCs/>
          <w:sz w:val="28"/>
          <w:szCs w:val="28"/>
          <w:bdr w:val="none" w:sz="0" w:space="0" w:color="auto" w:frame="1"/>
          <w:lang w:val="es-CO" w:eastAsia="es-CO"/>
        </w:rPr>
        <w:t xml:space="preserve"> </w:t>
      </w:r>
      <w:r w:rsidRPr="000C349E">
        <w:rPr>
          <w:bCs/>
          <w:sz w:val="28"/>
          <w:szCs w:val="28"/>
          <w:bdr w:val="none" w:sz="0" w:space="0" w:color="auto" w:frame="1"/>
          <w:lang w:val="es-CO" w:eastAsia="es-CO"/>
        </w:rPr>
        <w:t>la Personaría de Bogotá para que, en el marco de sus competencias, realice el seguimiento al cumplimiento de la presente providencia, así como proceda a contactar a</w:t>
      </w:r>
      <w:r w:rsidR="00431915" w:rsidRPr="000C349E">
        <w:rPr>
          <w:bCs/>
          <w:sz w:val="28"/>
          <w:szCs w:val="28"/>
          <w:bdr w:val="none" w:sz="0" w:space="0" w:color="auto" w:frame="1"/>
          <w:lang w:val="es-CO" w:eastAsia="es-CO"/>
        </w:rPr>
        <w:t>l</w:t>
      </w:r>
      <w:r w:rsidRPr="000C349E">
        <w:rPr>
          <w:bCs/>
          <w:sz w:val="28"/>
          <w:szCs w:val="28"/>
          <w:bdr w:val="none" w:sz="0" w:space="0" w:color="auto" w:frame="1"/>
          <w:lang w:val="es-CO" w:eastAsia="es-CO"/>
        </w:rPr>
        <w:t xml:space="preserve"> ciudadano Ángel Abad Hoyos Fernández con el fin de instruirlo y apoyarlo en el ejercicio de sus derechos. </w:t>
      </w:r>
    </w:p>
    <w:p w:rsidR="007509D2" w:rsidRPr="000C349E" w:rsidRDefault="007509D2" w:rsidP="000C349E">
      <w:pPr>
        <w:jc w:val="both"/>
        <w:rPr>
          <w:bCs/>
          <w:sz w:val="28"/>
          <w:szCs w:val="28"/>
          <w:bdr w:val="none" w:sz="0" w:space="0" w:color="auto" w:frame="1"/>
          <w:lang w:val="es-CO" w:eastAsia="es-CO"/>
        </w:rPr>
      </w:pPr>
    </w:p>
    <w:p w:rsidR="007509D2" w:rsidRPr="000C349E" w:rsidRDefault="00226F48" w:rsidP="000C349E">
      <w:pPr>
        <w:widowControl w:val="0"/>
        <w:jc w:val="both"/>
        <w:rPr>
          <w:bCs/>
          <w:sz w:val="28"/>
          <w:szCs w:val="28"/>
        </w:rPr>
      </w:pPr>
      <w:r w:rsidRPr="000C349E">
        <w:rPr>
          <w:b/>
          <w:bCs/>
          <w:sz w:val="28"/>
          <w:szCs w:val="28"/>
        </w:rPr>
        <w:t xml:space="preserve">QUINTO.- </w:t>
      </w:r>
      <w:r w:rsidR="007509D2" w:rsidRPr="000C349E">
        <w:rPr>
          <w:b/>
          <w:bCs/>
          <w:sz w:val="28"/>
          <w:szCs w:val="28"/>
        </w:rPr>
        <w:t>ORDENAR</w:t>
      </w:r>
      <w:r w:rsidR="007509D2" w:rsidRPr="000C349E">
        <w:rPr>
          <w:bCs/>
          <w:sz w:val="28"/>
          <w:szCs w:val="28"/>
        </w:rPr>
        <w:t xml:space="preserve"> que, por Secretaría General, se envíe </w:t>
      </w:r>
      <w:r w:rsidR="007509D2" w:rsidRPr="000C349E">
        <w:rPr>
          <w:sz w:val="28"/>
          <w:szCs w:val="28"/>
        </w:rPr>
        <w:t xml:space="preserve">a la Oficina de Archivo de la Sede Judicial Hernando Morales Molina de Bogotá el expediente con número de radicado 11001-40-03-038-2015-01584-00, remitido a esta Corporación en calidad de préstamo. </w:t>
      </w:r>
    </w:p>
    <w:p w:rsidR="007509D2" w:rsidRPr="000C349E" w:rsidRDefault="007509D2" w:rsidP="000C349E">
      <w:pPr>
        <w:jc w:val="both"/>
        <w:rPr>
          <w:bCs/>
          <w:sz w:val="28"/>
          <w:szCs w:val="28"/>
          <w:bdr w:val="none" w:sz="0" w:space="0" w:color="auto" w:frame="1"/>
          <w:lang w:val="es-CO" w:eastAsia="es-CO"/>
        </w:rPr>
      </w:pPr>
    </w:p>
    <w:p w:rsidR="00FA1D5A" w:rsidRPr="000C349E" w:rsidRDefault="00226F48" w:rsidP="000C349E">
      <w:pPr>
        <w:jc w:val="both"/>
        <w:rPr>
          <w:sz w:val="28"/>
          <w:szCs w:val="28"/>
          <w:lang w:val="es-CO" w:eastAsia="es-CO"/>
        </w:rPr>
      </w:pPr>
      <w:r w:rsidRPr="000C349E">
        <w:rPr>
          <w:b/>
          <w:bCs/>
          <w:sz w:val="28"/>
          <w:szCs w:val="28"/>
          <w:bdr w:val="none" w:sz="0" w:space="0" w:color="auto" w:frame="1"/>
          <w:lang w:val="es-CO" w:eastAsia="es-CO"/>
        </w:rPr>
        <w:t xml:space="preserve">SEXTO.- </w:t>
      </w:r>
      <w:r w:rsidR="002B747F" w:rsidRPr="000C349E">
        <w:rPr>
          <w:b/>
          <w:bCs/>
          <w:sz w:val="28"/>
          <w:szCs w:val="28"/>
          <w:bdr w:val="none" w:sz="0" w:space="0" w:color="auto" w:frame="1"/>
          <w:lang w:val="es-CO" w:eastAsia="es-CO"/>
        </w:rPr>
        <w:t>LIBRAR</w:t>
      </w:r>
      <w:r w:rsidR="002B747F" w:rsidRPr="000C349E">
        <w:rPr>
          <w:bCs/>
          <w:sz w:val="28"/>
          <w:szCs w:val="28"/>
          <w:bdr w:val="none" w:sz="0" w:space="0" w:color="auto" w:frame="1"/>
          <w:lang w:val="es-CO" w:eastAsia="es-CO"/>
        </w:rPr>
        <w:t>,</w:t>
      </w:r>
      <w:r w:rsidR="002B747F" w:rsidRPr="000C349E">
        <w:rPr>
          <w:b/>
          <w:bCs/>
          <w:sz w:val="28"/>
          <w:szCs w:val="28"/>
          <w:bdr w:val="none" w:sz="0" w:space="0" w:color="auto" w:frame="1"/>
          <w:lang w:val="es-CO" w:eastAsia="es-CO"/>
        </w:rPr>
        <w:t xml:space="preserve"> </w:t>
      </w:r>
      <w:r w:rsidR="002B747F" w:rsidRPr="000C349E">
        <w:rPr>
          <w:sz w:val="28"/>
          <w:szCs w:val="28"/>
          <w:bdr w:val="none" w:sz="0" w:space="0" w:color="auto" w:frame="1"/>
          <w:lang w:val="es-CO" w:eastAsia="es-CO"/>
        </w:rPr>
        <w:t>por Secretaría General, las comunicaciones a que se refiere el artículo 36 del Decreto 2591 de 1991.</w:t>
      </w:r>
    </w:p>
    <w:p w:rsidR="00FA1D5A" w:rsidRPr="000C349E" w:rsidRDefault="00FA1D5A" w:rsidP="000C349E">
      <w:pPr>
        <w:shd w:val="clear" w:color="auto" w:fill="FFFFFF"/>
        <w:jc w:val="both"/>
        <w:textAlignment w:val="baseline"/>
        <w:rPr>
          <w:sz w:val="28"/>
          <w:szCs w:val="28"/>
          <w:lang w:val="es-CO" w:eastAsia="es-CO"/>
        </w:rPr>
      </w:pPr>
      <w:r w:rsidRPr="000C349E">
        <w:rPr>
          <w:sz w:val="28"/>
          <w:szCs w:val="28"/>
          <w:bdr w:val="none" w:sz="0" w:space="0" w:color="auto" w:frame="1"/>
          <w:lang w:val="es-CO" w:eastAsia="es-CO"/>
        </w:rPr>
        <w:t> </w:t>
      </w:r>
    </w:p>
    <w:p w:rsidR="00FA1D5A" w:rsidRPr="000C349E" w:rsidRDefault="00FA1D5A" w:rsidP="000C349E">
      <w:pPr>
        <w:jc w:val="both"/>
        <w:rPr>
          <w:sz w:val="28"/>
          <w:szCs w:val="28"/>
        </w:rPr>
      </w:pPr>
      <w:r w:rsidRPr="000C349E">
        <w:rPr>
          <w:sz w:val="28"/>
          <w:szCs w:val="28"/>
          <w:bdr w:val="none" w:sz="0" w:space="0" w:color="auto" w:frame="1"/>
          <w:lang w:val="es-CO" w:eastAsia="es-CO"/>
        </w:rPr>
        <w:t>Notifíquese, comuníquese, publíquese y cúmplase.</w:t>
      </w:r>
      <w:r w:rsidRPr="000C349E">
        <w:rPr>
          <w:sz w:val="28"/>
          <w:szCs w:val="28"/>
        </w:rPr>
        <w:t xml:space="preserve"> </w:t>
      </w:r>
    </w:p>
    <w:p w:rsidR="0033540A" w:rsidRPr="000C349E" w:rsidRDefault="0033540A" w:rsidP="000C349E">
      <w:pPr>
        <w:jc w:val="center"/>
        <w:rPr>
          <w:sz w:val="28"/>
          <w:szCs w:val="28"/>
        </w:rPr>
      </w:pPr>
    </w:p>
    <w:p w:rsidR="0033540A" w:rsidRPr="000C349E" w:rsidRDefault="0033540A" w:rsidP="000C349E">
      <w:pPr>
        <w:jc w:val="center"/>
        <w:rPr>
          <w:sz w:val="28"/>
          <w:szCs w:val="28"/>
        </w:rPr>
      </w:pPr>
    </w:p>
    <w:p w:rsidR="0033540A" w:rsidRPr="000C349E" w:rsidRDefault="0033540A" w:rsidP="000C349E">
      <w:pPr>
        <w:jc w:val="center"/>
        <w:rPr>
          <w:sz w:val="28"/>
          <w:szCs w:val="28"/>
        </w:rPr>
      </w:pPr>
    </w:p>
    <w:p w:rsidR="0033540A" w:rsidRPr="000C349E" w:rsidRDefault="0033540A" w:rsidP="000C349E">
      <w:pPr>
        <w:jc w:val="center"/>
        <w:rPr>
          <w:sz w:val="28"/>
          <w:szCs w:val="28"/>
        </w:rPr>
      </w:pPr>
      <w:r w:rsidRPr="000C349E">
        <w:rPr>
          <w:sz w:val="28"/>
          <w:szCs w:val="28"/>
        </w:rPr>
        <w:t>LUIS GUILLERMO GUERRERO PÉREZ</w:t>
      </w:r>
    </w:p>
    <w:p w:rsidR="0033540A" w:rsidRPr="000C349E" w:rsidRDefault="0033540A" w:rsidP="000C349E">
      <w:pPr>
        <w:jc w:val="center"/>
        <w:rPr>
          <w:sz w:val="28"/>
          <w:szCs w:val="28"/>
        </w:rPr>
      </w:pPr>
      <w:r w:rsidRPr="000C349E">
        <w:rPr>
          <w:sz w:val="28"/>
          <w:szCs w:val="28"/>
        </w:rPr>
        <w:t>Magistrado</w:t>
      </w:r>
    </w:p>
    <w:p w:rsidR="0033540A" w:rsidRPr="000C349E" w:rsidRDefault="0033540A" w:rsidP="000C349E">
      <w:pPr>
        <w:jc w:val="center"/>
        <w:rPr>
          <w:sz w:val="28"/>
          <w:szCs w:val="28"/>
        </w:rPr>
      </w:pPr>
    </w:p>
    <w:p w:rsidR="0033540A" w:rsidRPr="000C349E" w:rsidRDefault="0033540A" w:rsidP="000C349E">
      <w:pPr>
        <w:jc w:val="center"/>
        <w:rPr>
          <w:sz w:val="28"/>
          <w:szCs w:val="28"/>
        </w:rPr>
      </w:pPr>
    </w:p>
    <w:p w:rsidR="0033540A" w:rsidRPr="000C349E" w:rsidRDefault="0033540A" w:rsidP="000C349E">
      <w:pPr>
        <w:jc w:val="center"/>
        <w:rPr>
          <w:sz w:val="28"/>
          <w:szCs w:val="28"/>
        </w:rPr>
      </w:pPr>
    </w:p>
    <w:p w:rsidR="0033540A" w:rsidRPr="000C349E" w:rsidRDefault="0033540A" w:rsidP="000C349E">
      <w:pPr>
        <w:jc w:val="center"/>
        <w:rPr>
          <w:sz w:val="28"/>
          <w:szCs w:val="28"/>
        </w:rPr>
      </w:pPr>
      <w:r w:rsidRPr="000C349E">
        <w:rPr>
          <w:sz w:val="28"/>
          <w:szCs w:val="28"/>
        </w:rPr>
        <w:t>ALEJANDRO LINARES CANTILLO</w:t>
      </w:r>
    </w:p>
    <w:p w:rsidR="0033540A" w:rsidRPr="000C349E" w:rsidRDefault="0033540A" w:rsidP="000C349E">
      <w:pPr>
        <w:jc w:val="center"/>
        <w:rPr>
          <w:sz w:val="28"/>
          <w:szCs w:val="28"/>
        </w:rPr>
      </w:pPr>
      <w:r w:rsidRPr="000C349E">
        <w:rPr>
          <w:sz w:val="28"/>
          <w:szCs w:val="28"/>
        </w:rPr>
        <w:t>Magistrado</w:t>
      </w:r>
    </w:p>
    <w:p w:rsidR="0033540A" w:rsidRPr="000C349E" w:rsidRDefault="0033540A" w:rsidP="000C349E">
      <w:pPr>
        <w:jc w:val="center"/>
        <w:rPr>
          <w:sz w:val="28"/>
          <w:szCs w:val="28"/>
        </w:rPr>
      </w:pPr>
    </w:p>
    <w:p w:rsidR="0033540A" w:rsidRPr="000C349E" w:rsidRDefault="0033540A" w:rsidP="000C349E">
      <w:pPr>
        <w:jc w:val="center"/>
        <w:rPr>
          <w:sz w:val="28"/>
          <w:szCs w:val="28"/>
        </w:rPr>
      </w:pPr>
    </w:p>
    <w:p w:rsidR="0033540A" w:rsidRPr="000C349E" w:rsidRDefault="0033540A" w:rsidP="000C349E">
      <w:pPr>
        <w:jc w:val="center"/>
        <w:rPr>
          <w:sz w:val="28"/>
          <w:szCs w:val="28"/>
        </w:rPr>
      </w:pPr>
    </w:p>
    <w:p w:rsidR="0033540A" w:rsidRPr="000C349E" w:rsidRDefault="0033540A" w:rsidP="000C349E">
      <w:pPr>
        <w:jc w:val="center"/>
        <w:rPr>
          <w:sz w:val="28"/>
          <w:szCs w:val="28"/>
        </w:rPr>
      </w:pPr>
      <w:r w:rsidRPr="000C349E">
        <w:rPr>
          <w:sz w:val="28"/>
          <w:szCs w:val="28"/>
        </w:rPr>
        <w:t>ANTONIO JOSÉ LIZARAZO OCAMPO</w:t>
      </w:r>
    </w:p>
    <w:p w:rsidR="0033540A" w:rsidRPr="000C349E" w:rsidRDefault="0033540A" w:rsidP="000C349E">
      <w:pPr>
        <w:jc w:val="center"/>
        <w:rPr>
          <w:sz w:val="28"/>
          <w:szCs w:val="28"/>
        </w:rPr>
      </w:pPr>
      <w:r w:rsidRPr="000C349E">
        <w:rPr>
          <w:sz w:val="28"/>
          <w:szCs w:val="28"/>
        </w:rPr>
        <w:t>Magistrado</w:t>
      </w:r>
    </w:p>
    <w:p w:rsidR="0033540A" w:rsidRPr="000C349E" w:rsidRDefault="0033540A" w:rsidP="000C349E">
      <w:pPr>
        <w:jc w:val="center"/>
        <w:rPr>
          <w:sz w:val="28"/>
          <w:szCs w:val="28"/>
        </w:rPr>
      </w:pPr>
    </w:p>
    <w:p w:rsidR="0033540A" w:rsidRPr="000C349E" w:rsidRDefault="0033540A" w:rsidP="000C349E">
      <w:pPr>
        <w:jc w:val="center"/>
        <w:rPr>
          <w:sz w:val="28"/>
          <w:szCs w:val="28"/>
        </w:rPr>
      </w:pPr>
    </w:p>
    <w:p w:rsidR="0033540A" w:rsidRPr="000C349E" w:rsidRDefault="0033540A" w:rsidP="000C349E">
      <w:pPr>
        <w:jc w:val="center"/>
        <w:rPr>
          <w:sz w:val="28"/>
          <w:szCs w:val="28"/>
        </w:rPr>
      </w:pPr>
    </w:p>
    <w:p w:rsidR="0033540A" w:rsidRPr="000C349E" w:rsidRDefault="0033540A" w:rsidP="000C349E">
      <w:pPr>
        <w:jc w:val="center"/>
        <w:rPr>
          <w:sz w:val="28"/>
          <w:szCs w:val="28"/>
        </w:rPr>
      </w:pPr>
      <w:r w:rsidRPr="000C349E">
        <w:rPr>
          <w:sz w:val="28"/>
          <w:szCs w:val="28"/>
        </w:rPr>
        <w:t>MARTHA VICTORIA SÁCHICA MÉNDEZ</w:t>
      </w:r>
    </w:p>
    <w:p w:rsidR="00ED3AC2" w:rsidRDefault="0033540A" w:rsidP="000C349E">
      <w:pPr>
        <w:jc w:val="center"/>
        <w:rPr>
          <w:sz w:val="28"/>
          <w:szCs w:val="28"/>
        </w:rPr>
      </w:pPr>
      <w:r w:rsidRPr="000C349E">
        <w:rPr>
          <w:sz w:val="28"/>
          <w:szCs w:val="28"/>
        </w:rPr>
        <w:t>Secretaria General</w:t>
      </w:r>
    </w:p>
    <w:p w:rsidR="00CC4335" w:rsidRDefault="00CC4335" w:rsidP="000C349E">
      <w:pPr>
        <w:jc w:val="center"/>
        <w:rPr>
          <w:sz w:val="28"/>
          <w:szCs w:val="28"/>
        </w:rPr>
      </w:pPr>
    </w:p>
    <w:p w:rsidR="00CC4335" w:rsidRPr="000C349E" w:rsidRDefault="00CC4335" w:rsidP="000C349E">
      <w:pPr>
        <w:jc w:val="center"/>
        <w:rPr>
          <w:sz w:val="28"/>
          <w:szCs w:val="28"/>
        </w:rPr>
      </w:pPr>
    </w:p>
    <w:sectPr w:rsidR="00CC4335" w:rsidRPr="000C349E" w:rsidSect="00431915">
      <w:headerReference w:type="even" r:id="rId8"/>
      <w:footerReference w:type="even" r:id="rId9"/>
      <w:footerReference w:type="default" r:id="rId10"/>
      <w:pgSz w:w="12240" w:h="18720" w:code="14"/>
      <w:pgMar w:top="1418" w:right="1644" w:bottom="1418" w:left="164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B01" w:rsidRDefault="000F6B01" w:rsidP="003B0CB1">
      <w:r>
        <w:separator/>
      </w:r>
    </w:p>
  </w:endnote>
  <w:endnote w:type="continuationSeparator" w:id="0">
    <w:p w:rsidR="000F6B01" w:rsidRDefault="000F6B01" w:rsidP="003B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5C" w:rsidRDefault="00175A5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75A5C" w:rsidRDefault="00175A5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5C" w:rsidRPr="001B553C" w:rsidRDefault="00175A5C">
    <w:pPr>
      <w:pStyle w:val="Piedepgina"/>
      <w:jc w:val="right"/>
    </w:pPr>
    <w:r w:rsidRPr="001B553C">
      <w:fldChar w:fldCharType="begin"/>
    </w:r>
    <w:r w:rsidRPr="001B553C">
      <w:instrText>PAGE   \* MERGEFORMAT</w:instrText>
    </w:r>
    <w:r w:rsidRPr="001B553C">
      <w:fldChar w:fldCharType="separate"/>
    </w:r>
    <w:r w:rsidR="00D75EEE">
      <w:rPr>
        <w:noProof/>
      </w:rPr>
      <w:t>22</w:t>
    </w:r>
    <w:r w:rsidRPr="001B553C">
      <w:fldChar w:fldCharType="end"/>
    </w:r>
  </w:p>
  <w:p w:rsidR="00175A5C" w:rsidRDefault="00175A5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B01" w:rsidRDefault="000F6B01" w:rsidP="003B0CB1">
      <w:r>
        <w:separator/>
      </w:r>
    </w:p>
  </w:footnote>
  <w:footnote w:type="continuationSeparator" w:id="0">
    <w:p w:rsidR="000F6B01" w:rsidRDefault="000F6B01" w:rsidP="003B0CB1">
      <w:r>
        <w:continuationSeparator/>
      </w:r>
    </w:p>
  </w:footnote>
  <w:footnote w:id="1">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Cfr. Copia de la cédula de ciudadanía de Ángel Abad Hoyos Fernández (folio 95 del cuaderno principal).</w:t>
      </w:r>
    </w:p>
  </w:footnote>
  <w:footnote w:id="2">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Cfr. Copia del reporte de afiliación al Sistema de Seguridad Social (folio 42 del cuaderno de revisión). </w:t>
      </w:r>
    </w:p>
  </w:footnote>
  <w:footnote w:id="3">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Cfr. </w:t>
      </w:r>
      <w:bookmarkStart w:id="1" w:name="_Hlk24363615"/>
      <w:r w:rsidRPr="00F5458D">
        <w:rPr>
          <w:color w:val="auto"/>
        </w:rPr>
        <w:t xml:space="preserve">Historia clínica contenida en el disco compacto obrante en el folio 44 del cuaderno de revisión. </w:t>
      </w:r>
    </w:p>
    <w:bookmarkEnd w:id="1"/>
  </w:footnote>
  <w:footnote w:id="4">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Ib</w:t>
      </w:r>
      <w:r w:rsidR="000D699F" w:rsidRPr="00F5458D">
        <w:rPr>
          <w:color w:val="auto"/>
        </w:rPr>
        <w:t>í</w:t>
      </w:r>
      <w:r w:rsidRPr="00F5458D">
        <w:rPr>
          <w:color w:val="auto"/>
        </w:rPr>
        <w:t xml:space="preserve">dem. </w:t>
      </w:r>
    </w:p>
  </w:footnote>
  <w:footnote w:id="5">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Cfr. Oficio visible en el folio 1 del cuaderno 1 del expediente de tutela con número de radicado 11001-40-03-038-2015-01584-00. </w:t>
      </w:r>
    </w:p>
  </w:footnote>
  <w:footnote w:id="6">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Folios 2 a 6 del cuaderno 1 del expediente de tutela con número de radicado 11001-40-03-038-2015-01584-00. Al respecto, cabe resaltar que, en su oportunidad, Famisanar EPS se opuso a la prosperidad de la acción de tutela, señalando que el estado de salud de Ángel Abad Hoyos Fernández no requería de su traslado a una unidad de cuidados crónicos, pues lo que necesitaba era el apoyo de un cuidador, el cual debía ser suministrado por su familia.</w:t>
      </w:r>
    </w:p>
  </w:footnote>
  <w:footnote w:id="7">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Folios 81 a 96 del cuaderno 1 del expediente de tutela con número de radicado 11001-40-03-038-2015-01584-00.</w:t>
      </w:r>
    </w:p>
  </w:footnote>
  <w:footnote w:id="8">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Folios 3 a 7 del cuaderno 2 del expediente de tutela con número de radicado 11001-40-03-038-2015-01584-00. Sobre el particular, es pertinente mencionar que los referidos fallos de tutela fueron remitidos el 15 de abril de 2016 a la Corte Constitucional en virtud de lo dispuesto en los artículos 86 y 241.9 de la Carta Política, radicados bajo el número de proceso T-5518403, y excluidos de revisión el 27 de mayo siguiente.</w:t>
      </w:r>
    </w:p>
  </w:footnote>
  <w:footnote w:id="9">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Cfr. Historia clínica contenida en el disco compacto obrante en el folio 44 del cuaderno de revisión. </w:t>
      </w:r>
    </w:p>
  </w:footnote>
  <w:footnote w:id="10">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Ibídem.</w:t>
      </w:r>
    </w:p>
  </w:footnote>
  <w:footnote w:id="11">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Folios 15 a 16 del cuaderno principal.</w:t>
      </w:r>
    </w:p>
  </w:footnote>
  <w:footnote w:id="12">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 17 del cuaderno principal. </w:t>
      </w:r>
    </w:p>
  </w:footnote>
  <w:footnote w:id="13">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 21 del cuaderno principal. </w:t>
      </w:r>
    </w:p>
  </w:footnote>
  <w:footnote w:id="14">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Folios 1 a 2 y 22 del cuaderno principal. </w:t>
      </w:r>
    </w:p>
  </w:footnote>
  <w:footnote w:id="15">
    <w:p w:rsidR="001010DF" w:rsidRPr="00F5458D" w:rsidRDefault="001010DF" w:rsidP="00F5458D">
      <w:pPr>
        <w:pStyle w:val="Textonotapie"/>
        <w:rPr>
          <w:color w:val="auto"/>
        </w:rPr>
      </w:pPr>
      <w:r w:rsidRPr="00F5458D">
        <w:rPr>
          <w:rStyle w:val="Refdenotaalpie"/>
          <w:color w:val="auto"/>
        </w:rPr>
        <w:footnoteRef/>
      </w:r>
      <w:r w:rsidRPr="00F5458D">
        <w:rPr>
          <w:color w:val="auto"/>
        </w:rPr>
        <w:t xml:space="preserve"> El caso de Ángel Abad Hoyos Fernández inicialmente fue asignado a la Comisaría Trece de Familia de Bogotá, pero en razón del factor territorial fue remitido a la Comisaría Sexta de Familia de la misma ciudad. </w:t>
      </w:r>
    </w:p>
  </w:footnote>
  <w:footnote w:id="16">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 11 del cuaderno principal. </w:t>
      </w:r>
    </w:p>
  </w:footnote>
  <w:footnote w:id="17">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Según consta en el acta individual de reparto visible en el folio 31 del cuaderno principal. </w:t>
      </w:r>
    </w:p>
  </w:footnote>
  <w:footnote w:id="18">
    <w:p w:rsidR="006740D8" w:rsidRPr="00F5458D" w:rsidRDefault="006740D8" w:rsidP="00F5458D">
      <w:pPr>
        <w:pStyle w:val="Textonotapie"/>
        <w:rPr>
          <w:color w:val="auto"/>
        </w:rPr>
      </w:pPr>
      <w:r w:rsidRPr="00F5458D">
        <w:rPr>
          <w:rStyle w:val="Refdenotaalpie"/>
          <w:color w:val="auto"/>
        </w:rPr>
        <w:footnoteRef/>
      </w:r>
      <w:r w:rsidRPr="00F5458D">
        <w:rPr>
          <w:color w:val="auto"/>
        </w:rPr>
        <w:t xml:space="preserve"> Folio</w:t>
      </w:r>
      <w:r w:rsidR="00A16BC2" w:rsidRPr="00F5458D">
        <w:rPr>
          <w:color w:val="auto"/>
        </w:rPr>
        <w:t>s</w:t>
      </w:r>
      <w:r w:rsidRPr="00F5458D">
        <w:rPr>
          <w:color w:val="auto"/>
        </w:rPr>
        <w:t xml:space="preserve"> </w:t>
      </w:r>
      <w:r w:rsidR="00A16BC2" w:rsidRPr="00F5458D">
        <w:rPr>
          <w:color w:val="auto"/>
        </w:rPr>
        <w:t xml:space="preserve">27 y </w:t>
      </w:r>
      <w:r w:rsidRPr="00F5458D">
        <w:rPr>
          <w:color w:val="auto"/>
        </w:rPr>
        <w:t>28 del cuaderno principal.</w:t>
      </w:r>
    </w:p>
  </w:footnote>
  <w:footnote w:id="19">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 33 del cuaderno principal.</w:t>
      </w:r>
    </w:p>
  </w:footnote>
  <w:footnote w:id="20">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Folios 53 a 62 del cuaderno principal.</w:t>
      </w:r>
    </w:p>
  </w:footnote>
  <w:footnote w:id="21">
    <w:p w:rsidR="009A70EE" w:rsidRPr="00F5458D" w:rsidRDefault="009A70EE" w:rsidP="00F5458D">
      <w:pPr>
        <w:pStyle w:val="Textonotapie"/>
        <w:rPr>
          <w:color w:val="auto"/>
        </w:rPr>
      </w:pPr>
      <w:r w:rsidRPr="00F5458D">
        <w:rPr>
          <w:rStyle w:val="Refdenotaalpie"/>
          <w:color w:val="auto"/>
        </w:rPr>
        <w:footnoteRef/>
      </w:r>
      <w:r w:rsidRPr="00F5458D">
        <w:rPr>
          <w:color w:val="auto"/>
        </w:rPr>
        <w:t xml:space="preserve"> Folios 77 a 79 del cuaderno principal. </w:t>
      </w:r>
    </w:p>
  </w:footnote>
  <w:footnote w:id="22">
    <w:p w:rsidR="009A70EE" w:rsidRPr="00F5458D" w:rsidRDefault="009A70EE" w:rsidP="00F5458D">
      <w:pPr>
        <w:pStyle w:val="Textonotapie"/>
        <w:rPr>
          <w:color w:val="auto"/>
        </w:rPr>
      </w:pPr>
      <w:r w:rsidRPr="00F5458D">
        <w:rPr>
          <w:rStyle w:val="Refdenotaalpie"/>
          <w:color w:val="auto"/>
        </w:rPr>
        <w:footnoteRef/>
      </w:r>
      <w:r w:rsidRPr="00F5458D">
        <w:rPr>
          <w:color w:val="auto"/>
        </w:rPr>
        <w:t xml:space="preserve"> Folios 89 a 94 del cuaderno principal. </w:t>
      </w:r>
    </w:p>
  </w:footnote>
  <w:footnote w:id="23">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Folios 69 a 70, 72 a 76, 84 a 87, 100 y 102 a 104 del cuaderno principal.</w:t>
      </w:r>
    </w:p>
  </w:footnote>
  <w:footnote w:id="24">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Folios 106 a 109 del cuaderno principal.</w:t>
      </w:r>
    </w:p>
  </w:footnote>
  <w:footnote w:id="25">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Folios 131 a 132 del cuaderno principal. </w:t>
      </w:r>
    </w:p>
  </w:footnote>
  <w:footnote w:id="26">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Folios 166 a 169 del cuaderno principal.</w:t>
      </w:r>
    </w:p>
  </w:footnote>
  <w:footnote w:id="27">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Folios 3 a 14 del cuaderno de revisión. </w:t>
      </w:r>
    </w:p>
  </w:footnote>
  <w:footnote w:id="28">
    <w:p w:rsidR="00F46788" w:rsidRPr="00F5458D" w:rsidRDefault="00F46788" w:rsidP="00F5458D">
      <w:pPr>
        <w:pStyle w:val="Textonotapie"/>
        <w:rPr>
          <w:color w:val="auto"/>
        </w:rPr>
      </w:pPr>
      <w:r w:rsidRPr="00F5458D">
        <w:rPr>
          <w:rStyle w:val="Refdenotaalpie"/>
          <w:color w:val="auto"/>
        </w:rPr>
        <w:footnoteRef/>
      </w:r>
      <w:r w:rsidRPr="00F5458D">
        <w:rPr>
          <w:color w:val="auto"/>
        </w:rPr>
        <w:t xml:space="preserve"> Acuerdo 02 de 2015.</w:t>
      </w:r>
    </w:p>
  </w:footnote>
  <w:footnote w:id="29">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 17 a 19 y 109 a 110 145 del cuaderno de revisión. </w:t>
      </w:r>
    </w:p>
  </w:footnote>
  <w:footnote w:id="30">
    <w:p w:rsidR="00175A5C" w:rsidRPr="00F5458D" w:rsidRDefault="00175A5C" w:rsidP="00F5458D">
      <w:pPr>
        <w:jc w:val="both"/>
        <w:rPr>
          <w:sz w:val="20"/>
          <w:szCs w:val="20"/>
        </w:rPr>
      </w:pPr>
      <w:r w:rsidRPr="00F5458D">
        <w:rPr>
          <w:rStyle w:val="Refdenotaalpie"/>
          <w:sz w:val="20"/>
          <w:szCs w:val="20"/>
        </w:rPr>
        <w:footnoteRef/>
      </w:r>
      <w:r w:rsidRPr="00F5458D">
        <w:rPr>
          <w:sz w:val="20"/>
          <w:szCs w:val="20"/>
        </w:rPr>
        <w:t xml:space="preserve"> Folios 145 a 147 del cuaderno de revisión. </w:t>
      </w:r>
    </w:p>
  </w:footnote>
  <w:footnote w:id="31">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Cfr. Supra I, 1.5. a 1.6.</w:t>
      </w:r>
    </w:p>
  </w:footnote>
  <w:footnote w:id="32">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Folios 40 a 42 del cuaderno de revisión. </w:t>
      </w:r>
    </w:p>
  </w:footnote>
  <w:footnote w:id="33">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 54 del cuaderno de revisión.</w:t>
      </w:r>
    </w:p>
  </w:footnote>
  <w:footnote w:id="34">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Folios 43 a 44 del cuaderno de revisión. La Historia clínica se encuentra contenida en el disco compacto.</w:t>
      </w:r>
    </w:p>
  </w:footnote>
  <w:footnote w:id="35">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 102 del cuaderno de revisión.</w:t>
      </w:r>
    </w:p>
  </w:footnote>
  <w:footnote w:id="36">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Folios 45 a 49 del cuaderno de revisión. </w:t>
      </w:r>
    </w:p>
  </w:footnote>
  <w:footnote w:id="37">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Cfr. </w:t>
      </w:r>
      <w:r w:rsidR="009733FE" w:rsidRPr="00F5458D">
        <w:rPr>
          <w:i/>
          <w:color w:val="auto"/>
        </w:rPr>
        <w:t>“</w:t>
      </w:r>
      <w:r w:rsidRPr="00F5458D">
        <w:rPr>
          <w:i/>
          <w:color w:val="auto"/>
        </w:rPr>
        <w:t>Valoración de condiciones de ingreso a los servicios de personas en situación de discapacidad</w:t>
      </w:r>
      <w:r w:rsidR="009733FE" w:rsidRPr="00F5458D">
        <w:rPr>
          <w:i/>
          <w:color w:val="auto"/>
        </w:rPr>
        <w:t>”</w:t>
      </w:r>
      <w:r w:rsidRPr="00F5458D">
        <w:rPr>
          <w:color w:val="auto"/>
        </w:rPr>
        <w:t>, así como</w:t>
      </w:r>
      <w:r w:rsidR="009733FE" w:rsidRPr="00F5458D">
        <w:rPr>
          <w:color w:val="auto"/>
        </w:rPr>
        <w:t xml:space="preserve"> </w:t>
      </w:r>
      <w:r w:rsidR="009733FE" w:rsidRPr="00F5458D">
        <w:rPr>
          <w:i/>
          <w:color w:val="auto"/>
        </w:rPr>
        <w:t>“</w:t>
      </w:r>
      <w:r w:rsidRPr="00F5458D">
        <w:rPr>
          <w:i/>
          <w:color w:val="auto"/>
        </w:rPr>
        <w:t>evaluación del sistema de apoyo</w:t>
      </w:r>
      <w:r w:rsidR="009733FE" w:rsidRPr="00F5458D">
        <w:rPr>
          <w:i/>
          <w:color w:val="auto"/>
        </w:rPr>
        <w:t>”</w:t>
      </w:r>
      <w:r w:rsidRPr="00F5458D">
        <w:rPr>
          <w:color w:val="auto"/>
        </w:rPr>
        <w:t xml:space="preserve">, visibles en los folios 50 a 52 y 59 del cuaderno de revisión. </w:t>
      </w:r>
    </w:p>
  </w:footnote>
  <w:footnote w:id="38">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Folios 115 a 116 del cuaderno de revisión.</w:t>
      </w:r>
    </w:p>
  </w:footnote>
  <w:footnote w:id="39">
    <w:p w:rsidR="00E14805" w:rsidRPr="00F5458D" w:rsidRDefault="00E14805" w:rsidP="00F5458D">
      <w:pPr>
        <w:pStyle w:val="Textonotapie"/>
        <w:rPr>
          <w:color w:val="auto"/>
        </w:rPr>
      </w:pPr>
      <w:r w:rsidRPr="00F5458D">
        <w:rPr>
          <w:rStyle w:val="Refdenotaalpie"/>
          <w:color w:val="auto"/>
        </w:rPr>
        <w:footnoteRef/>
      </w:r>
      <w:r w:rsidR="00F865E2" w:rsidRPr="00F5458D">
        <w:rPr>
          <w:color w:val="auto"/>
        </w:rPr>
        <w:t xml:space="preserve"> Folio </w:t>
      </w:r>
      <w:r w:rsidRPr="00F5458D">
        <w:rPr>
          <w:color w:val="auto"/>
        </w:rPr>
        <w:t>142 del cuaderno de revisión.</w:t>
      </w:r>
      <w:r w:rsidR="00C431D3" w:rsidRPr="00F5458D">
        <w:rPr>
          <w:color w:val="auto"/>
        </w:rPr>
        <w:t xml:space="preserve"> </w:t>
      </w:r>
    </w:p>
  </w:footnote>
  <w:footnote w:id="40">
    <w:p w:rsidR="009A70EE" w:rsidRPr="00F5458D" w:rsidRDefault="009A70EE" w:rsidP="00F5458D">
      <w:pPr>
        <w:pStyle w:val="Textonotapie"/>
        <w:rPr>
          <w:color w:val="auto"/>
        </w:rPr>
      </w:pPr>
      <w:r w:rsidRPr="00F5458D">
        <w:rPr>
          <w:rStyle w:val="Refdenotaalpie"/>
          <w:color w:val="auto"/>
        </w:rPr>
        <w:footnoteRef/>
      </w:r>
      <w:r w:rsidRPr="00F5458D">
        <w:rPr>
          <w:color w:val="auto"/>
        </w:rPr>
        <w:t xml:space="preserve"> Folio 106 del cuaderno de revisión. </w:t>
      </w:r>
    </w:p>
  </w:footnote>
  <w:footnote w:id="41">
    <w:p w:rsidR="00175A5C" w:rsidRPr="00F5458D" w:rsidRDefault="00175A5C" w:rsidP="00F5458D">
      <w:pPr>
        <w:jc w:val="both"/>
        <w:rPr>
          <w:i/>
          <w:sz w:val="20"/>
          <w:szCs w:val="20"/>
          <w:lang w:val="es-CO"/>
        </w:rPr>
      </w:pPr>
      <w:r w:rsidRPr="00F5458D">
        <w:rPr>
          <w:rStyle w:val="Refdenotaalpie"/>
          <w:rFonts w:eastAsia="SimSun"/>
          <w:sz w:val="20"/>
          <w:szCs w:val="20"/>
        </w:rPr>
        <w:footnoteRef/>
      </w:r>
      <w:r w:rsidRPr="00F5458D">
        <w:rPr>
          <w:sz w:val="20"/>
          <w:szCs w:val="20"/>
          <w:lang w:val="es-CO"/>
        </w:rPr>
        <w:t xml:space="preserve"> </w:t>
      </w:r>
      <w:r w:rsidRPr="00F5458D">
        <w:rPr>
          <w:i/>
          <w:sz w:val="20"/>
          <w:szCs w:val="20"/>
          <w:lang w:val="es-CO"/>
        </w:rPr>
        <w:t>“Artículo 86. (…) El fallo, que será de inmediato cumplimiento, podrá impugnarse ante el juez competente y, en todo caso, éste lo remitirá a la Corte Constitucional para su eventual revisión (…).”</w:t>
      </w:r>
      <w:r w:rsidRPr="00F5458D">
        <w:rPr>
          <w:sz w:val="20"/>
          <w:szCs w:val="20"/>
          <w:lang w:val="es-CO"/>
        </w:rPr>
        <w:t xml:space="preserve"> // </w:t>
      </w:r>
      <w:r w:rsidRPr="00F5458D">
        <w:rPr>
          <w:i/>
          <w:sz w:val="20"/>
          <w:szCs w:val="20"/>
          <w:lang w:val="es-CO"/>
        </w:rPr>
        <w:t>“Artículo 241. A la Corte Constitucional se le confía la guarda de la integridad y supremacía de la Constitución, en los estrictos y precisos términos de este artículo. Con tal fin, cumplirá las siguientes funciones: (…) 9. Revisar, en la forma que determine la ley, las decisiones judiciales relacionadas con la acción de tutela de los derechos constitucionales (…)”.</w:t>
      </w:r>
    </w:p>
  </w:footnote>
  <w:footnote w:id="42">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Cfr. Sentenc</w:t>
      </w:r>
      <w:r w:rsidR="008E311B" w:rsidRPr="00F5458D">
        <w:rPr>
          <w:color w:val="auto"/>
        </w:rPr>
        <w:t xml:space="preserve">ias </w:t>
      </w:r>
      <w:r w:rsidRPr="00F5458D">
        <w:rPr>
          <w:color w:val="auto"/>
        </w:rPr>
        <w:t xml:space="preserve">T-680 de 2013, T-529 de 2014 y T-132 de 2019 (M.P. Luis Guillermo Guerrero Pérez). </w:t>
      </w:r>
    </w:p>
  </w:footnote>
  <w:footnote w:id="43">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w:t>
      </w:r>
      <w:r w:rsidRPr="00F5458D">
        <w:rPr>
          <w:i/>
          <w:color w:val="auto"/>
        </w:rPr>
        <w:t>“Artículo 3°. Principios. El trámite de la acción de tutela se desarrollará con arreglo a los principios de publicidad, prevalencia del derecho sustancial, economía, celeridad y eficacia”</w:t>
      </w:r>
      <w:r w:rsidRPr="00F5458D">
        <w:rPr>
          <w:color w:val="auto"/>
        </w:rPr>
        <w:t>.</w:t>
      </w:r>
    </w:p>
  </w:footnote>
  <w:footnote w:id="44">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Sentencias T-529 de 2014 y T-132 de 2019 (M.P. Luis Guillermo Guerrero Pérez).</w:t>
      </w:r>
    </w:p>
  </w:footnote>
  <w:footnote w:id="45">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w:t>
      </w:r>
      <w:r w:rsidRPr="00F5458D">
        <w:rPr>
          <w:i/>
          <w:color w:val="auto"/>
        </w:rPr>
        <w:t>“Artículo 38. Actuación Temeraria. Cuando, sin motivo expresamente justificado, la misma acción de tutela sea presentada por la misma persona o su representante ante varios jueces o tribunales, se rechazarán o decidirán desfavorablemente todas las solicitudes. // El abogado que promoviere la presentación de varias acciones de tutela respecto de los mismos hechos y derechos, será sancionado con la suspensión de la tarjeta profesional al menos por dos años. En caso de reincidencia, se le cancelará su tarjeta profesional, sin perjuicio de las demás sanciones a que haya lugar”.</w:t>
      </w:r>
    </w:p>
  </w:footnote>
  <w:footnote w:id="46">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Sentencia T-380 de 2013 (M.P. Luis Guillermo Guerrero Pérez).</w:t>
      </w:r>
    </w:p>
  </w:footnote>
  <w:footnote w:id="47">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Cfr. Sentencia T-560 de 2009 (M.P Gabriel Eduardo Mendoza Martelo). En este sentido, en la Sentencia T-280 de 2017 (M.P. José Antonio Cepeda Amarís), se recordó que </w:t>
      </w:r>
      <w:r w:rsidRPr="00F5458D">
        <w:rPr>
          <w:i/>
          <w:color w:val="auto"/>
        </w:rPr>
        <w:t>“la Corte ha delimitado también supuestos en los que una persona puede interponer varias acciones de tutela sin que sean consideradas temerarias, esto tiene lugar cuando i) ocurre un hecho nuevo y, ii) si no existe un pronunciamiento de fondo sobre las pretensiones en la jurisdicción constitucional”</w:t>
      </w:r>
      <w:r w:rsidRPr="00F5458D">
        <w:rPr>
          <w:color w:val="auto"/>
        </w:rPr>
        <w:t>.</w:t>
      </w:r>
    </w:p>
  </w:footnote>
  <w:footnote w:id="48">
    <w:p w:rsidR="000F73C3" w:rsidRPr="00F5458D" w:rsidRDefault="000F73C3" w:rsidP="00F5458D">
      <w:pPr>
        <w:pStyle w:val="Textonotapie"/>
        <w:rPr>
          <w:color w:val="auto"/>
        </w:rPr>
      </w:pPr>
      <w:r w:rsidRPr="00F5458D">
        <w:rPr>
          <w:rStyle w:val="Refdenotaalpie"/>
          <w:color w:val="auto"/>
        </w:rPr>
        <w:footnoteRef/>
      </w:r>
      <w:r w:rsidRPr="00F5458D">
        <w:rPr>
          <w:color w:val="auto"/>
        </w:rPr>
        <w:t xml:space="preserve"> Supra I, 1.5. y </w:t>
      </w:r>
      <w:r w:rsidR="00613DDA" w:rsidRPr="00F5458D">
        <w:rPr>
          <w:color w:val="auto"/>
        </w:rPr>
        <w:t>1.6.</w:t>
      </w:r>
    </w:p>
  </w:footnote>
  <w:footnote w:id="49">
    <w:p w:rsidR="00DB7467" w:rsidRPr="00F5458D" w:rsidRDefault="00DB7467" w:rsidP="00F5458D">
      <w:pPr>
        <w:pStyle w:val="Textonotapie"/>
        <w:rPr>
          <w:color w:val="auto"/>
        </w:rPr>
      </w:pPr>
      <w:r w:rsidRPr="00F5458D">
        <w:rPr>
          <w:rStyle w:val="Refdenotaalpie"/>
          <w:color w:val="auto"/>
        </w:rPr>
        <w:footnoteRef/>
      </w:r>
      <w:r w:rsidRPr="00F5458D">
        <w:rPr>
          <w:color w:val="auto"/>
        </w:rPr>
        <w:t xml:space="preserve"> Supra I, 2.</w:t>
      </w:r>
    </w:p>
  </w:footnote>
  <w:footnote w:id="50">
    <w:p w:rsidR="00DB7467" w:rsidRPr="00F5458D" w:rsidRDefault="00DB7467" w:rsidP="00F5458D">
      <w:pPr>
        <w:pStyle w:val="Textonotapie"/>
        <w:rPr>
          <w:color w:val="auto"/>
        </w:rPr>
      </w:pPr>
      <w:r w:rsidRPr="00F5458D">
        <w:rPr>
          <w:rStyle w:val="Refdenotaalpie"/>
          <w:color w:val="auto"/>
        </w:rPr>
        <w:footnoteRef/>
      </w:r>
      <w:r w:rsidRPr="00F5458D">
        <w:rPr>
          <w:color w:val="auto"/>
        </w:rPr>
        <w:t xml:space="preserve"> Supra I, 1.5.</w:t>
      </w:r>
    </w:p>
  </w:footnote>
  <w:footnote w:id="51">
    <w:p w:rsidR="00DB7467" w:rsidRPr="00F5458D" w:rsidRDefault="00DB7467" w:rsidP="00F5458D">
      <w:pPr>
        <w:pStyle w:val="Textonotapie"/>
        <w:rPr>
          <w:color w:val="auto"/>
        </w:rPr>
      </w:pPr>
      <w:r w:rsidRPr="00F5458D">
        <w:rPr>
          <w:rStyle w:val="Refdenotaalpie"/>
          <w:color w:val="auto"/>
        </w:rPr>
        <w:footnoteRef/>
      </w:r>
      <w:r w:rsidRPr="00F5458D">
        <w:rPr>
          <w:color w:val="auto"/>
        </w:rPr>
        <w:t xml:space="preserve"> Ibídem. </w:t>
      </w:r>
    </w:p>
  </w:footnote>
  <w:footnote w:id="52">
    <w:p w:rsidR="00410170" w:rsidRPr="00F5458D" w:rsidRDefault="00410170" w:rsidP="00F5458D">
      <w:pPr>
        <w:pStyle w:val="Textonotapie"/>
        <w:rPr>
          <w:color w:val="auto"/>
        </w:rPr>
      </w:pPr>
      <w:r w:rsidRPr="00F5458D">
        <w:rPr>
          <w:rStyle w:val="Refdenotaalpie"/>
          <w:color w:val="auto"/>
        </w:rPr>
        <w:footnoteRef/>
      </w:r>
      <w:r w:rsidRPr="00F5458D">
        <w:rPr>
          <w:color w:val="auto"/>
        </w:rPr>
        <w:t xml:space="preserve"> Supra I, 2.</w:t>
      </w:r>
    </w:p>
  </w:footnote>
  <w:footnote w:id="53">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w:t>
      </w:r>
      <w:r w:rsidRPr="00F5458D">
        <w:rPr>
          <w:i/>
          <w:color w:val="auto"/>
        </w:rPr>
        <w:t>“Por el cual se reglamenta la acción de tutela consagrada en el artículo 86 de la Constitución Política.”</w:t>
      </w:r>
    </w:p>
  </w:footnote>
  <w:footnote w:id="54">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Cfr. Sentencia</w:t>
      </w:r>
      <w:r w:rsidR="000B36AB" w:rsidRPr="00F5458D">
        <w:rPr>
          <w:color w:val="auto"/>
        </w:rPr>
        <w:t>s</w:t>
      </w:r>
      <w:r w:rsidRPr="00F5458D">
        <w:rPr>
          <w:color w:val="auto"/>
        </w:rPr>
        <w:t xml:space="preserve"> T-272 de 2017</w:t>
      </w:r>
      <w:r w:rsidR="000B36AB" w:rsidRPr="00F5458D">
        <w:rPr>
          <w:color w:val="auto"/>
        </w:rPr>
        <w:t xml:space="preserve"> y T-132 de 2019</w:t>
      </w:r>
      <w:r w:rsidRPr="00F5458D">
        <w:rPr>
          <w:color w:val="auto"/>
        </w:rPr>
        <w:t xml:space="preserve"> (M.P. Luis Guillermo Guerrero Pérez).</w:t>
      </w:r>
    </w:p>
  </w:footnote>
  <w:footnote w:id="55">
    <w:p w:rsidR="00175A5C" w:rsidRPr="00F5458D" w:rsidRDefault="00175A5C" w:rsidP="00F5458D">
      <w:pPr>
        <w:jc w:val="both"/>
        <w:rPr>
          <w:sz w:val="20"/>
          <w:szCs w:val="20"/>
        </w:rPr>
      </w:pPr>
      <w:r w:rsidRPr="00F5458D">
        <w:rPr>
          <w:rStyle w:val="Refdenotaalpie"/>
          <w:rFonts w:eastAsia="SimSun"/>
          <w:sz w:val="20"/>
          <w:szCs w:val="20"/>
        </w:rPr>
        <w:footnoteRef/>
      </w:r>
      <w:r w:rsidRPr="00F5458D">
        <w:rPr>
          <w:sz w:val="20"/>
          <w:szCs w:val="20"/>
        </w:rPr>
        <w:t xml:space="preserve"> </w:t>
      </w:r>
      <w:r w:rsidRPr="00F5458D">
        <w:rPr>
          <w:i/>
          <w:sz w:val="20"/>
          <w:szCs w:val="20"/>
          <w:lang w:val="es-CO" w:eastAsia="en-US"/>
        </w:rPr>
        <w:t>“Artículo 10. Legitimidad e interés. La acción de tutela podrá ser ejercida, en todo momento y lugar, por cualquiera persona vulnerada o amenazada en uno de sus derechos fundamentales, quien actuará por sí misma o a través de representante. Los poderes se presumirán auténticos. // También se pueden agenciar derechos ajenos cuando el titular de los mismos no esté en condiciones de promover su propia defensa. Cuando tal circunstancia ocurra, deberá manifestarse en la solicitud. // También podrá ejercerla el Defensor del Pueblo y los personeros municipales.”</w:t>
      </w:r>
    </w:p>
  </w:footnote>
  <w:footnote w:id="56">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Sentencia T-031 de 2016 (M.P. Luis Guillermo Guerrero Pérez).</w:t>
      </w:r>
    </w:p>
  </w:footnote>
  <w:footnote w:id="57">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w:t>
      </w:r>
      <w:r w:rsidRPr="00F5458D">
        <w:rPr>
          <w:i/>
          <w:color w:val="auto"/>
        </w:rPr>
        <w:t>Artículo 5. Procedencia de la acción de tutela. La acción de tutela procede contra toda acción u omisión de las autoridades públicas, que haya violado, viole o amenace violar cualquiera de los derechos de que trata el artículo 2 de esta ley. También procede contra acciones u omisiones de particulares, de conformidad con lo establecido en el Capítulo III de este Decreto (…)”.</w:t>
      </w:r>
    </w:p>
  </w:footnote>
  <w:footnote w:id="58">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Cfr. Sentencia T-212 de 2014 (M.P. Luis Guillermo Guerrero Pérez). </w:t>
      </w:r>
    </w:p>
  </w:footnote>
  <w:footnote w:id="59">
    <w:p w:rsidR="00175A5C" w:rsidRPr="00F5458D" w:rsidRDefault="00175A5C" w:rsidP="00F5458D">
      <w:pPr>
        <w:pStyle w:val="Textonotapie"/>
        <w:rPr>
          <w:color w:val="auto"/>
        </w:rPr>
      </w:pPr>
      <w:r w:rsidRPr="00F5458D">
        <w:rPr>
          <w:color w:val="auto"/>
          <w:vertAlign w:val="superscript"/>
        </w:rPr>
        <w:footnoteRef/>
      </w:r>
      <w:r w:rsidRPr="00F5458D">
        <w:rPr>
          <w:color w:val="auto"/>
        </w:rPr>
        <w:t xml:space="preserve"> Véase, entre otras, las sentencias SU-961 de 1999 (M.P. Vladimiro Naranjo Mesa), T-282 de 2005 (M.P. Rodrigo Escobar Gil), T-016 de 2006 (M.P. Manuel José Cepeda Espinosa), T-158 de 2006 (M.P. Huberto Antonio Sierra Porto), T-018 de 2008 (M.P. Jaime Córdoba Triviño), T-491 de 2009 (M.P. Luis Ernesto Vargas Silva)</w:t>
      </w:r>
      <w:r w:rsidR="000B36AB" w:rsidRPr="00F5458D">
        <w:rPr>
          <w:color w:val="auto"/>
        </w:rPr>
        <w:t>,</w:t>
      </w:r>
      <w:r w:rsidRPr="00F5458D">
        <w:rPr>
          <w:color w:val="auto"/>
        </w:rPr>
        <w:t xml:space="preserve"> T-719 de 2013 (M.P. Luis Guillermo Guerrero Pérez)</w:t>
      </w:r>
      <w:r w:rsidR="00F51A3C" w:rsidRPr="00F5458D">
        <w:rPr>
          <w:color w:val="auto"/>
        </w:rPr>
        <w:t xml:space="preserve">, T-031 de 2016 (M.P. Luis Guillermo Guerrero Pérez) y </w:t>
      </w:r>
      <w:r w:rsidR="000B36AB" w:rsidRPr="00F5458D">
        <w:rPr>
          <w:color w:val="auto"/>
        </w:rPr>
        <w:t>T-132 de 2019 (M.P. Luis Guillermo Guerrero Pérez)</w:t>
      </w:r>
      <w:r w:rsidRPr="00F5458D">
        <w:rPr>
          <w:color w:val="auto"/>
        </w:rPr>
        <w:t>.</w:t>
      </w:r>
    </w:p>
  </w:footnote>
  <w:footnote w:id="60">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Al respecto, ver, entre otras, las sentencias T-129 de 2009 (M.P. Humberto Antonio Sierra Porto), T-335 de 2009 (M.P. Juan Carlos Henao Pérez), SU-339 de 2011 (M.P. Humberto Antonio Sierra Porto)</w:t>
      </w:r>
      <w:r w:rsidR="000B36AB" w:rsidRPr="00F5458D">
        <w:rPr>
          <w:color w:val="auto"/>
        </w:rPr>
        <w:t xml:space="preserve">, </w:t>
      </w:r>
      <w:r w:rsidRPr="00F5458D">
        <w:rPr>
          <w:color w:val="auto"/>
        </w:rPr>
        <w:t>T-664 de 2012 (M.P. Adriana María Guillén Arango)</w:t>
      </w:r>
      <w:r w:rsidR="000B36AB" w:rsidRPr="00F5458D">
        <w:rPr>
          <w:color w:val="auto"/>
        </w:rPr>
        <w:t xml:space="preserve"> y T-132 de 2019 (M.P. Luis Guillermo Guerrero Pérez)</w:t>
      </w:r>
      <w:r w:rsidRPr="00F5458D">
        <w:rPr>
          <w:color w:val="auto"/>
        </w:rPr>
        <w:t>.</w:t>
      </w:r>
    </w:p>
  </w:footnote>
  <w:footnote w:id="61">
    <w:p w:rsidR="00175A5C" w:rsidRPr="00F5458D" w:rsidRDefault="00175A5C" w:rsidP="00F5458D">
      <w:pPr>
        <w:pStyle w:val="Textonotapie"/>
        <w:rPr>
          <w:color w:val="auto"/>
        </w:rPr>
      </w:pPr>
      <w:r w:rsidRPr="00F5458D">
        <w:rPr>
          <w:rStyle w:val="Refdenotaalpie"/>
          <w:color w:val="auto"/>
        </w:rPr>
        <w:footnoteRef/>
      </w:r>
      <w:r w:rsidRPr="00F5458D">
        <w:rPr>
          <w:color w:val="auto"/>
        </w:rPr>
        <w:t xml:space="preserve"> Sentencia T-833 de 2014 (M.P. Luis Guillermo Guerrero Pérez).</w:t>
      </w:r>
    </w:p>
  </w:footnote>
  <w:footnote w:id="62">
    <w:p w:rsidR="009B7646" w:rsidRPr="00F5458D" w:rsidRDefault="009B7646" w:rsidP="00F5458D">
      <w:pPr>
        <w:pStyle w:val="Textonotapie"/>
        <w:rPr>
          <w:color w:val="auto"/>
        </w:rPr>
      </w:pPr>
      <w:r w:rsidRPr="00F5458D">
        <w:rPr>
          <w:rStyle w:val="Refdenotaalpie"/>
          <w:color w:val="auto"/>
        </w:rPr>
        <w:footnoteRef/>
      </w:r>
      <w:r w:rsidRPr="00F5458D">
        <w:rPr>
          <w:color w:val="auto"/>
        </w:rPr>
        <w:t xml:space="preserve"> Sentencia T-550 de 1994 (M.P. José Gregorio Hernández Galindo), reiterada, entre otros, en los fallos</w:t>
      </w:r>
      <w:r w:rsidR="00D26F63" w:rsidRPr="00F5458D">
        <w:rPr>
          <w:color w:val="auto"/>
        </w:rPr>
        <w:t xml:space="preserve"> T-434 de 2002 (M.P. Rodrigo Escobar Gil), T-795 de 2010 (M.P. Jorge Iv</w:t>
      </w:r>
      <w:r w:rsidR="00CE05C7" w:rsidRPr="00F5458D">
        <w:rPr>
          <w:color w:val="auto"/>
        </w:rPr>
        <w:t xml:space="preserve">án Palacio Palacio), </w:t>
      </w:r>
      <w:r w:rsidR="00D26F63" w:rsidRPr="00F5458D">
        <w:rPr>
          <w:color w:val="auto"/>
        </w:rPr>
        <w:t>C-767 de 2014 (M.P. Jorge Ignacio Pretelt Chaljub)</w:t>
      </w:r>
      <w:r w:rsidR="00260480" w:rsidRPr="00F5458D">
        <w:rPr>
          <w:color w:val="auto"/>
        </w:rPr>
        <w:t>, C-451 de 2016 (M.P. Luis Ernesto Vargas Silva) y T-215 de 2018 (M.P. Cristina Pardo Schlesinger)</w:t>
      </w:r>
      <w:r w:rsidR="00D26F63" w:rsidRPr="00F5458D">
        <w:rPr>
          <w:color w:val="auto"/>
        </w:rPr>
        <w:t>.</w:t>
      </w:r>
      <w:r w:rsidR="00C431D3" w:rsidRPr="00F5458D">
        <w:rPr>
          <w:color w:val="auto"/>
        </w:rPr>
        <w:t xml:space="preserve"> </w:t>
      </w:r>
    </w:p>
  </w:footnote>
  <w:footnote w:id="63">
    <w:p w:rsidR="005A33FF" w:rsidRPr="00F5458D" w:rsidRDefault="005A33FF" w:rsidP="00F5458D">
      <w:pPr>
        <w:pStyle w:val="Textonotapie"/>
        <w:rPr>
          <w:color w:val="auto"/>
        </w:rPr>
      </w:pPr>
      <w:r w:rsidRPr="00F5458D">
        <w:rPr>
          <w:rStyle w:val="Refdenotaalpie"/>
          <w:color w:val="auto"/>
        </w:rPr>
        <w:footnoteRef/>
      </w:r>
      <w:r w:rsidRPr="00F5458D">
        <w:rPr>
          <w:color w:val="auto"/>
        </w:rPr>
        <w:t xml:space="preserve"> Cfr. Sentencia T-801 de 1998 (M.P. Eduardo Cifuentes Muñoz).</w:t>
      </w:r>
    </w:p>
  </w:footnote>
  <w:footnote w:id="64">
    <w:p w:rsidR="00097C37" w:rsidRPr="00F5458D" w:rsidRDefault="00097C37" w:rsidP="00F5458D">
      <w:pPr>
        <w:pStyle w:val="Textonotapie"/>
        <w:rPr>
          <w:color w:val="auto"/>
        </w:rPr>
      </w:pPr>
      <w:r w:rsidRPr="00F5458D">
        <w:rPr>
          <w:rStyle w:val="Refdenotaalpie"/>
          <w:color w:val="auto"/>
        </w:rPr>
        <w:footnoteRef/>
      </w:r>
      <w:r w:rsidRPr="00F5458D">
        <w:rPr>
          <w:color w:val="auto"/>
        </w:rPr>
        <w:t xml:space="preserve"> Cfr. Sentencia T-422 de 2017 (M.P. Iván Humberto Escrucería Mayolo).</w:t>
      </w:r>
    </w:p>
  </w:footnote>
  <w:footnote w:id="65">
    <w:p w:rsidR="00DA688A" w:rsidRPr="00F5458D" w:rsidRDefault="00DA688A" w:rsidP="00F5458D">
      <w:pPr>
        <w:pStyle w:val="Textonotapie"/>
        <w:rPr>
          <w:color w:val="auto"/>
        </w:rPr>
      </w:pPr>
      <w:r w:rsidRPr="00F5458D">
        <w:rPr>
          <w:rStyle w:val="Refdenotaalpie"/>
          <w:color w:val="auto"/>
        </w:rPr>
        <w:footnoteRef/>
      </w:r>
      <w:r w:rsidRPr="00F5458D">
        <w:rPr>
          <w:color w:val="auto"/>
        </w:rPr>
        <w:t xml:space="preserve"> Sentencia T-154 de 2014 (M.P. Luis Guillermo Guerrero P</w:t>
      </w:r>
      <w:r w:rsidR="00097C37" w:rsidRPr="00F5458D">
        <w:rPr>
          <w:color w:val="auto"/>
        </w:rPr>
        <w:t>érez).</w:t>
      </w:r>
    </w:p>
  </w:footnote>
  <w:footnote w:id="66">
    <w:p w:rsidR="00CE05C7" w:rsidRPr="00F5458D" w:rsidRDefault="00CE05C7" w:rsidP="00F5458D">
      <w:pPr>
        <w:pStyle w:val="Textonotapie"/>
        <w:rPr>
          <w:color w:val="auto"/>
        </w:rPr>
      </w:pPr>
      <w:r w:rsidRPr="00F5458D">
        <w:rPr>
          <w:rStyle w:val="Refdenotaalpie"/>
          <w:color w:val="auto"/>
        </w:rPr>
        <w:footnoteRef/>
      </w:r>
      <w:r w:rsidRPr="00F5458D">
        <w:rPr>
          <w:color w:val="auto"/>
        </w:rPr>
        <w:t xml:space="preserve"> Sentencia C-237 de 1997 (M.P. Carlos Gaviria Díaz), reiterada en la providencia C-459 de 2004 (M.P. Jaime Araújo Rentería).</w:t>
      </w:r>
    </w:p>
  </w:footnote>
  <w:footnote w:id="67">
    <w:p w:rsidR="00B2337A" w:rsidRPr="00F5458D" w:rsidRDefault="00B2337A" w:rsidP="00F5458D">
      <w:pPr>
        <w:pStyle w:val="Textonotapie"/>
        <w:rPr>
          <w:color w:val="auto"/>
        </w:rPr>
      </w:pPr>
      <w:r w:rsidRPr="00F5458D">
        <w:rPr>
          <w:rStyle w:val="Refdenotaalpie"/>
          <w:color w:val="auto"/>
        </w:rPr>
        <w:footnoteRef/>
      </w:r>
      <w:r w:rsidRPr="00F5458D">
        <w:rPr>
          <w:color w:val="auto"/>
        </w:rPr>
        <w:t xml:space="preserve"> Cfr. Sentencia T-795 de 2010 (M.P. Jorge Iván Palacio Palacio).</w:t>
      </w:r>
    </w:p>
  </w:footnote>
  <w:footnote w:id="68">
    <w:p w:rsidR="00260480" w:rsidRPr="00F5458D" w:rsidRDefault="00260480" w:rsidP="00F5458D">
      <w:pPr>
        <w:pStyle w:val="Textonotapie"/>
        <w:rPr>
          <w:color w:val="auto"/>
        </w:rPr>
      </w:pPr>
      <w:r w:rsidRPr="00F5458D">
        <w:rPr>
          <w:rStyle w:val="Refdenotaalpie"/>
          <w:color w:val="auto"/>
        </w:rPr>
        <w:footnoteRef/>
      </w:r>
      <w:r w:rsidR="00C038C6" w:rsidRPr="00F5458D">
        <w:rPr>
          <w:color w:val="auto"/>
        </w:rPr>
        <w:t xml:space="preserve"> Sentencia T-533 de 1992 (M.P. Eduardo Cifuentes Muñoz), reiterada en los fallos T-1330 de 2001 (M.P. Manuel José Cepeda Espinosa) y T-795 de 2010 (M.P. Jorge Iván Palacio Palacio).</w:t>
      </w:r>
    </w:p>
  </w:footnote>
  <w:footnote w:id="69">
    <w:p w:rsidR="008C6188" w:rsidRPr="00F5458D" w:rsidRDefault="008C6188" w:rsidP="00F5458D">
      <w:pPr>
        <w:pStyle w:val="Textonotapie"/>
        <w:rPr>
          <w:color w:val="auto"/>
        </w:rPr>
      </w:pPr>
      <w:r w:rsidRPr="00F5458D">
        <w:rPr>
          <w:rStyle w:val="Refdenotaalpie"/>
          <w:color w:val="auto"/>
        </w:rPr>
        <w:footnoteRef/>
      </w:r>
      <w:r w:rsidRPr="00F5458D">
        <w:rPr>
          <w:color w:val="auto"/>
        </w:rPr>
        <w:t xml:space="preserve"> </w:t>
      </w:r>
      <w:r w:rsidR="002D3780" w:rsidRPr="00F5458D">
        <w:rPr>
          <w:color w:val="auto"/>
        </w:rPr>
        <w:t xml:space="preserve">Cfr. </w:t>
      </w:r>
      <w:r w:rsidR="005B4908" w:rsidRPr="00F5458D">
        <w:rPr>
          <w:color w:val="auto"/>
        </w:rPr>
        <w:t xml:space="preserve">Sentencia </w:t>
      </w:r>
      <w:r w:rsidRPr="00F5458D">
        <w:rPr>
          <w:color w:val="auto"/>
        </w:rPr>
        <w:t xml:space="preserve">T-507 de 2007 </w:t>
      </w:r>
      <w:r w:rsidR="005B4908" w:rsidRPr="00F5458D">
        <w:rPr>
          <w:color w:val="auto"/>
        </w:rPr>
        <w:t>(M.</w:t>
      </w:r>
      <w:r w:rsidRPr="00F5458D">
        <w:rPr>
          <w:color w:val="auto"/>
        </w:rPr>
        <w:t>P. Marco Gerardo Monroy Cabra</w:t>
      </w:r>
      <w:r w:rsidR="005B4908" w:rsidRPr="00F5458D">
        <w:rPr>
          <w:color w:val="auto"/>
        </w:rPr>
        <w:t>)</w:t>
      </w:r>
      <w:r w:rsidRPr="00F5458D">
        <w:rPr>
          <w:color w:val="auto"/>
        </w:rPr>
        <w:t>.</w:t>
      </w:r>
    </w:p>
  </w:footnote>
  <w:footnote w:id="70">
    <w:p w:rsidR="00E51A05" w:rsidRPr="00F5458D" w:rsidRDefault="00E51A05" w:rsidP="00F5458D">
      <w:pPr>
        <w:pStyle w:val="Textonotapie"/>
        <w:rPr>
          <w:color w:val="auto"/>
        </w:rPr>
      </w:pPr>
      <w:r w:rsidRPr="00F5458D">
        <w:rPr>
          <w:rStyle w:val="Refdenotaalpie"/>
          <w:color w:val="auto"/>
        </w:rPr>
        <w:footnoteRef/>
      </w:r>
      <w:r w:rsidRPr="00F5458D">
        <w:rPr>
          <w:color w:val="auto"/>
        </w:rPr>
        <w:t xml:space="preserve"> M.P. Gloria Stella Ortiz Delgado. </w:t>
      </w:r>
    </w:p>
  </w:footnote>
  <w:footnote w:id="71">
    <w:p w:rsidR="008C6188" w:rsidRPr="00F5458D" w:rsidRDefault="008C6188" w:rsidP="00F5458D">
      <w:pPr>
        <w:pStyle w:val="Textonotapie"/>
        <w:rPr>
          <w:color w:val="auto"/>
        </w:rPr>
      </w:pPr>
      <w:r w:rsidRPr="00F5458D">
        <w:rPr>
          <w:rStyle w:val="Refdenotaalpie"/>
          <w:color w:val="auto"/>
        </w:rPr>
        <w:footnoteRef/>
      </w:r>
      <w:r w:rsidRPr="00F5458D">
        <w:rPr>
          <w:color w:val="auto"/>
        </w:rPr>
        <w:t xml:space="preserve"> </w:t>
      </w:r>
      <w:r w:rsidR="002D3780" w:rsidRPr="00F5458D">
        <w:rPr>
          <w:color w:val="auto"/>
        </w:rPr>
        <w:t xml:space="preserve">Cfr. </w:t>
      </w:r>
      <w:r w:rsidR="00050D8D" w:rsidRPr="00F5458D">
        <w:rPr>
          <w:color w:val="auto"/>
        </w:rPr>
        <w:t xml:space="preserve">Sentencia </w:t>
      </w:r>
      <w:r w:rsidRPr="00F5458D">
        <w:rPr>
          <w:color w:val="auto"/>
        </w:rPr>
        <w:t xml:space="preserve">T-867 de 2008 </w:t>
      </w:r>
      <w:r w:rsidR="00050D8D" w:rsidRPr="00F5458D">
        <w:rPr>
          <w:color w:val="auto"/>
        </w:rPr>
        <w:t>(</w:t>
      </w:r>
      <w:r w:rsidRPr="00F5458D">
        <w:rPr>
          <w:color w:val="auto"/>
        </w:rPr>
        <w:t>M.P</w:t>
      </w:r>
      <w:r w:rsidR="00050D8D" w:rsidRPr="00F5458D">
        <w:rPr>
          <w:color w:val="auto"/>
        </w:rPr>
        <w:t>.</w:t>
      </w:r>
      <w:r w:rsidRPr="00F5458D">
        <w:rPr>
          <w:color w:val="auto"/>
        </w:rPr>
        <w:t xml:space="preserve"> Rodrigo Escobar Gil</w:t>
      </w:r>
      <w:r w:rsidR="00050D8D" w:rsidRPr="00F5458D">
        <w:rPr>
          <w:color w:val="auto"/>
        </w:rPr>
        <w:t>)</w:t>
      </w:r>
      <w:r w:rsidRPr="00F5458D">
        <w:rPr>
          <w:color w:val="auto"/>
        </w:rPr>
        <w:t>.</w:t>
      </w:r>
    </w:p>
  </w:footnote>
  <w:footnote w:id="72">
    <w:p w:rsidR="00550BE3" w:rsidRPr="00F5458D" w:rsidRDefault="00550BE3" w:rsidP="00F5458D">
      <w:pPr>
        <w:pStyle w:val="Textonotapie"/>
        <w:rPr>
          <w:color w:val="auto"/>
        </w:rPr>
      </w:pPr>
      <w:r w:rsidRPr="00F5458D">
        <w:rPr>
          <w:rStyle w:val="Refdenotaalpie"/>
          <w:color w:val="auto"/>
        </w:rPr>
        <w:footnoteRef/>
      </w:r>
      <w:r w:rsidRPr="00F5458D">
        <w:rPr>
          <w:color w:val="auto"/>
        </w:rPr>
        <w:t xml:space="preserve"> Cfr. Sentencia T-024 de 2014 (M.P. Gabriel Eduardo Mendoza Martelo).</w:t>
      </w:r>
    </w:p>
  </w:footnote>
  <w:footnote w:id="73">
    <w:p w:rsidR="00550BE3" w:rsidRPr="00F5458D" w:rsidRDefault="00550BE3" w:rsidP="00F5458D">
      <w:pPr>
        <w:pStyle w:val="Textonotapie"/>
        <w:rPr>
          <w:color w:val="auto"/>
          <w:lang w:val="es-ES"/>
        </w:rPr>
      </w:pPr>
      <w:r w:rsidRPr="00F5458D">
        <w:rPr>
          <w:rStyle w:val="Refdenotaalpie"/>
          <w:color w:val="auto"/>
        </w:rPr>
        <w:footnoteRef/>
      </w:r>
      <w:r w:rsidRPr="00F5458D">
        <w:rPr>
          <w:color w:val="auto"/>
        </w:rPr>
        <w:t xml:space="preserve"> </w:t>
      </w:r>
      <w:r w:rsidRPr="00F5458D">
        <w:rPr>
          <w:i/>
          <w:color w:val="auto"/>
        </w:rPr>
        <w:t>“Por la cual se desarrolla el artículo 42 de la Constitución Política y se dictan normas para prevenir remediar y sancionar la violencia Intrafamiliar”</w:t>
      </w:r>
      <w:r w:rsidRPr="00F5458D">
        <w:rPr>
          <w:color w:val="auto"/>
        </w:rPr>
        <w:t>.</w:t>
      </w:r>
    </w:p>
  </w:footnote>
  <w:footnote w:id="74">
    <w:p w:rsidR="00550BE3" w:rsidRPr="00F5458D" w:rsidRDefault="00550BE3" w:rsidP="00F5458D">
      <w:pPr>
        <w:pStyle w:val="Textonotapie"/>
        <w:rPr>
          <w:color w:val="auto"/>
        </w:rPr>
      </w:pPr>
      <w:r w:rsidRPr="00F5458D">
        <w:rPr>
          <w:rStyle w:val="Refdenotaalpie"/>
          <w:color w:val="auto"/>
        </w:rPr>
        <w:footnoteRef/>
      </w:r>
      <w:r w:rsidRPr="00F5458D">
        <w:rPr>
          <w:color w:val="auto"/>
        </w:rPr>
        <w:t xml:space="preserve"> </w:t>
      </w:r>
      <w:r w:rsidRPr="00F5458D">
        <w:rPr>
          <w:color w:val="auto"/>
          <w:lang w:val="es-ES"/>
        </w:rPr>
        <w:t>Artículo 4 de la Ley 294 de 1996</w:t>
      </w:r>
      <w:r w:rsidR="00FF7658" w:rsidRPr="00F5458D">
        <w:rPr>
          <w:color w:val="auto"/>
          <w:lang w:val="es-ES"/>
        </w:rPr>
        <w:t>, modificado por el artículo 16 de la Ley 1257 de 2008.</w:t>
      </w:r>
    </w:p>
  </w:footnote>
  <w:footnote w:id="75">
    <w:p w:rsidR="00060F7E" w:rsidRPr="00F5458D" w:rsidRDefault="00060F7E" w:rsidP="00F5458D">
      <w:pPr>
        <w:pStyle w:val="Textonotapie"/>
        <w:rPr>
          <w:color w:val="auto"/>
        </w:rPr>
      </w:pPr>
      <w:r w:rsidRPr="00F5458D">
        <w:rPr>
          <w:rStyle w:val="Refdenotaalpie"/>
          <w:color w:val="auto"/>
        </w:rPr>
        <w:footnoteRef/>
      </w:r>
      <w:r w:rsidRPr="00F5458D">
        <w:rPr>
          <w:color w:val="auto"/>
        </w:rPr>
        <w:t xml:space="preserve"> Sentencia T-462 de 2018 (M.P. Antonio José Lizarazo Ocampo). </w:t>
      </w:r>
    </w:p>
  </w:footnote>
  <w:footnote w:id="76">
    <w:p w:rsidR="00F865E2" w:rsidRPr="00F5458D" w:rsidRDefault="00F865E2" w:rsidP="00F5458D">
      <w:pPr>
        <w:pStyle w:val="Textonotapie"/>
        <w:rPr>
          <w:color w:val="auto"/>
        </w:rPr>
      </w:pPr>
      <w:r w:rsidRPr="00F5458D">
        <w:rPr>
          <w:rStyle w:val="Refdenotaalpie"/>
          <w:color w:val="auto"/>
        </w:rPr>
        <w:footnoteRef/>
      </w:r>
      <w:r w:rsidRPr="00F5458D">
        <w:rPr>
          <w:color w:val="auto"/>
        </w:rPr>
        <w:t xml:space="preserve"> En torno a las diferentes medidas que pueden adoptarse en los procesos en mención </w:t>
      </w:r>
      <w:r w:rsidR="007F7217" w:rsidRPr="00F5458D">
        <w:rPr>
          <w:color w:val="auto"/>
        </w:rPr>
        <w:t>con ocasión de</w:t>
      </w:r>
      <w:r w:rsidRPr="00F5458D">
        <w:rPr>
          <w:color w:val="auto"/>
        </w:rPr>
        <w:t xml:space="preserve"> la amplitud de las facultades </w:t>
      </w:r>
      <w:r w:rsidR="007F7217" w:rsidRPr="00F5458D">
        <w:rPr>
          <w:color w:val="auto"/>
        </w:rPr>
        <w:t>otorgadas a</w:t>
      </w:r>
      <w:r w:rsidRPr="00F5458D">
        <w:rPr>
          <w:color w:val="auto"/>
        </w:rPr>
        <w:t xml:space="preserve"> los comisarios de familia para proteger a las víctimas de la violencia</w:t>
      </w:r>
      <w:r w:rsidR="00B4358A" w:rsidRPr="00F5458D">
        <w:rPr>
          <w:color w:val="auto"/>
        </w:rPr>
        <w:t xml:space="preserve"> entre parientes</w:t>
      </w:r>
      <w:r w:rsidRPr="00F5458D">
        <w:rPr>
          <w:color w:val="auto"/>
        </w:rPr>
        <w:t>, pueden</w:t>
      </w:r>
      <w:r w:rsidR="007F7217" w:rsidRPr="00F5458D">
        <w:rPr>
          <w:color w:val="auto"/>
        </w:rPr>
        <w:t xml:space="preserve"> consultarse</w:t>
      </w:r>
      <w:r w:rsidRPr="00F5458D">
        <w:rPr>
          <w:color w:val="auto"/>
        </w:rPr>
        <w:t xml:space="preserve">, entre otras, las leyes </w:t>
      </w:r>
      <w:r w:rsidR="007F7217" w:rsidRPr="00F5458D">
        <w:rPr>
          <w:color w:val="auto"/>
        </w:rPr>
        <w:t>294 de 1996</w:t>
      </w:r>
      <w:r w:rsidRPr="00F5458D">
        <w:rPr>
          <w:color w:val="auto"/>
        </w:rPr>
        <w:t xml:space="preserve">, </w:t>
      </w:r>
      <w:r w:rsidR="007F7217" w:rsidRPr="00F5458D">
        <w:rPr>
          <w:color w:val="auto"/>
        </w:rPr>
        <w:t xml:space="preserve">1098 de 2006 y </w:t>
      </w:r>
      <w:r w:rsidRPr="00F5458D">
        <w:rPr>
          <w:color w:val="auto"/>
        </w:rPr>
        <w:t>1257 de 2008.</w:t>
      </w:r>
      <w:r w:rsidR="007F7217" w:rsidRPr="00F5458D">
        <w:rPr>
          <w:color w:val="auto"/>
        </w:rPr>
        <w:t xml:space="preserve"> </w:t>
      </w:r>
    </w:p>
  </w:footnote>
  <w:footnote w:id="77">
    <w:p w:rsidR="006C0FC1" w:rsidRPr="00F5458D" w:rsidRDefault="006C0FC1" w:rsidP="00F5458D">
      <w:pPr>
        <w:pStyle w:val="Textonotapie"/>
        <w:rPr>
          <w:color w:val="auto"/>
        </w:rPr>
      </w:pPr>
      <w:r w:rsidRPr="00F5458D">
        <w:rPr>
          <w:rStyle w:val="Refdenotaalpie"/>
          <w:color w:val="auto"/>
        </w:rPr>
        <w:footnoteRef/>
      </w:r>
      <w:r w:rsidRPr="00F5458D">
        <w:rPr>
          <w:color w:val="auto"/>
        </w:rPr>
        <w:t xml:space="preserve"> Sentencia T-558 de 2</w:t>
      </w:r>
      <w:r w:rsidR="008E6F2C" w:rsidRPr="00F5458D">
        <w:rPr>
          <w:color w:val="auto"/>
        </w:rPr>
        <w:t>005 (M.P. Rodrigo Escobar Gil). En las misma línea, pueden consultarse los</w:t>
      </w:r>
      <w:r w:rsidRPr="00F5458D">
        <w:rPr>
          <w:color w:val="auto"/>
        </w:rPr>
        <w:t xml:space="preserve"> fallo</w:t>
      </w:r>
      <w:r w:rsidR="008E6F2C" w:rsidRPr="00F5458D">
        <w:rPr>
          <w:color w:val="auto"/>
        </w:rPr>
        <w:t>s</w:t>
      </w:r>
      <w:r w:rsidRPr="00F5458D">
        <w:rPr>
          <w:color w:val="auto"/>
        </w:rPr>
        <w:t xml:space="preserve"> </w:t>
      </w:r>
      <w:r w:rsidR="008E6F2C" w:rsidRPr="00F5458D">
        <w:rPr>
          <w:color w:val="auto"/>
        </w:rPr>
        <w:t xml:space="preserve">T-1090 de 2004 (M.P. Rodrigo Escobar Gil) y </w:t>
      </w:r>
      <w:r w:rsidRPr="00F5458D">
        <w:rPr>
          <w:color w:val="auto"/>
        </w:rPr>
        <w:t>T-024 de 2014 (M.P. Ga</w:t>
      </w:r>
      <w:r w:rsidR="008E6F2C" w:rsidRPr="00F5458D">
        <w:rPr>
          <w:color w:val="auto"/>
        </w:rPr>
        <w:t>briel Eduardo Mendoza Martelo).</w:t>
      </w:r>
    </w:p>
  </w:footnote>
  <w:footnote w:id="78">
    <w:p w:rsidR="002E6977" w:rsidRPr="00F5458D" w:rsidRDefault="002E6977" w:rsidP="00F5458D">
      <w:pPr>
        <w:pStyle w:val="Textonotapie"/>
        <w:rPr>
          <w:color w:val="auto"/>
        </w:rPr>
      </w:pPr>
      <w:r w:rsidRPr="00F5458D">
        <w:rPr>
          <w:rStyle w:val="Refdenotaalpie"/>
          <w:color w:val="auto"/>
        </w:rPr>
        <w:footnoteRef/>
      </w:r>
      <w:r w:rsidRPr="00F5458D">
        <w:rPr>
          <w:color w:val="auto"/>
        </w:rPr>
        <w:t xml:space="preserve"> Cfr. Artículos 229 y siguientes del Código Penal.</w:t>
      </w:r>
    </w:p>
  </w:footnote>
  <w:footnote w:id="79">
    <w:p w:rsidR="002E6977" w:rsidRPr="00F5458D" w:rsidRDefault="002E6977" w:rsidP="00F5458D">
      <w:pPr>
        <w:pStyle w:val="Textonotapie"/>
        <w:rPr>
          <w:color w:val="auto"/>
        </w:rPr>
      </w:pPr>
      <w:r w:rsidRPr="00F5458D">
        <w:rPr>
          <w:rStyle w:val="Refdenotaalpie"/>
          <w:color w:val="auto"/>
        </w:rPr>
        <w:footnoteRef/>
      </w:r>
      <w:r w:rsidRPr="00F5458D">
        <w:rPr>
          <w:color w:val="auto"/>
        </w:rPr>
        <w:t xml:space="preserve"> Cfr. Artículos 11, 22 y 66 del Código de Procedimiento Penal.</w:t>
      </w:r>
    </w:p>
  </w:footnote>
  <w:footnote w:id="80">
    <w:p w:rsidR="00A22919" w:rsidRPr="00F5458D" w:rsidRDefault="00A22919" w:rsidP="00F5458D">
      <w:pPr>
        <w:pStyle w:val="Textonotapie"/>
        <w:rPr>
          <w:color w:val="auto"/>
          <w:lang w:val="es-ES"/>
        </w:rPr>
      </w:pPr>
      <w:r w:rsidRPr="00F5458D">
        <w:rPr>
          <w:rStyle w:val="Refdenotaalpie"/>
          <w:color w:val="auto"/>
        </w:rPr>
        <w:footnoteRef/>
      </w:r>
      <w:r w:rsidRPr="00F5458D">
        <w:rPr>
          <w:color w:val="auto"/>
        </w:rPr>
        <w:t xml:space="preserve"> </w:t>
      </w:r>
      <w:r w:rsidRPr="00F5458D">
        <w:rPr>
          <w:color w:val="auto"/>
          <w:lang w:val="es-ES"/>
        </w:rPr>
        <w:t>Cfr. Supra III, 4.</w:t>
      </w:r>
    </w:p>
  </w:footnote>
  <w:footnote w:id="81">
    <w:p w:rsidR="00076549" w:rsidRPr="00F5458D" w:rsidRDefault="00076549" w:rsidP="00F5458D">
      <w:pPr>
        <w:pStyle w:val="Textonotapie"/>
        <w:rPr>
          <w:color w:val="auto"/>
        </w:rPr>
      </w:pPr>
      <w:r w:rsidRPr="00F5458D">
        <w:rPr>
          <w:rStyle w:val="Refdenotaalpie"/>
          <w:color w:val="auto"/>
        </w:rPr>
        <w:footnoteRef/>
      </w:r>
      <w:r w:rsidRPr="00F5458D">
        <w:rPr>
          <w:color w:val="auto"/>
        </w:rPr>
        <w:t xml:space="preserve"> Sentencia</w:t>
      </w:r>
      <w:r w:rsidR="000B49D4" w:rsidRPr="00F5458D">
        <w:rPr>
          <w:color w:val="auto"/>
        </w:rPr>
        <w:t>s</w:t>
      </w:r>
      <w:r w:rsidRPr="00F5458D">
        <w:rPr>
          <w:color w:val="auto"/>
        </w:rPr>
        <w:t xml:space="preserve"> T-721 de 2013</w:t>
      </w:r>
      <w:r w:rsidR="000B49D4" w:rsidRPr="00F5458D">
        <w:rPr>
          <w:color w:val="auto"/>
        </w:rPr>
        <w:t xml:space="preserve"> y T-740 de 2017</w:t>
      </w:r>
      <w:r w:rsidRPr="00F5458D">
        <w:rPr>
          <w:color w:val="auto"/>
        </w:rPr>
        <w:t xml:space="preserve"> (M.P. Luis Guillermo Guerrero Pérez).</w:t>
      </w:r>
    </w:p>
  </w:footnote>
  <w:footnote w:id="82">
    <w:p w:rsidR="00A22919" w:rsidRPr="00F5458D" w:rsidRDefault="00A22919" w:rsidP="00F5458D">
      <w:pPr>
        <w:pStyle w:val="Textonotapie"/>
        <w:rPr>
          <w:color w:val="auto"/>
        </w:rPr>
      </w:pPr>
      <w:r w:rsidRPr="00F5458D">
        <w:rPr>
          <w:rStyle w:val="Refdenotaalpie"/>
          <w:color w:val="auto"/>
        </w:rPr>
        <w:footnoteRef/>
      </w:r>
      <w:r w:rsidRPr="00F5458D">
        <w:rPr>
          <w:color w:val="auto"/>
        </w:rPr>
        <w:t xml:space="preserve"> </w:t>
      </w:r>
      <w:r w:rsidR="00594317" w:rsidRPr="00F5458D">
        <w:rPr>
          <w:color w:val="auto"/>
        </w:rPr>
        <w:t xml:space="preserve">Cfr. </w:t>
      </w:r>
      <w:r w:rsidRPr="00F5458D">
        <w:rPr>
          <w:color w:val="auto"/>
        </w:rPr>
        <w:t>Supra I, 2.</w:t>
      </w:r>
    </w:p>
  </w:footnote>
  <w:footnote w:id="83">
    <w:p w:rsidR="00B01AFA" w:rsidRPr="00F5458D" w:rsidRDefault="00B01AFA" w:rsidP="00F5458D">
      <w:pPr>
        <w:pStyle w:val="Textonotapie"/>
        <w:rPr>
          <w:color w:val="auto"/>
          <w:lang w:val="es-ES"/>
        </w:rPr>
      </w:pPr>
      <w:r w:rsidRPr="00F5458D">
        <w:rPr>
          <w:rStyle w:val="Refdenotaalpie"/>
          <w:color w:val="auto"/>
        </w:rPr>
        <w:footnoteRef/>
      </w:r>
      <w:r w:rsidRPr="00F5458D">
        <w:rPr>
          <w:color w:val="auto"/>
        </w:rPr>
        <w:t xml:space="preserve"> </w:t>
      </w:r>
      <w:r w:rsidR="00594317" w:rsidRPr="00F5458D">
        <w:rPr>
          <w:color w:val="auto"/>
        </w:rPr>
        <w:t xml:space="preserve">Cfr. </w:t>
      </w:r>
      <w:r w:rsidRPr="00F5458D">
        <w:rPr>
          <w:color w:val="auto"/>
          <w:lang w:val="es-ES"/>
        </w:rPr>
        <w:t>Supra I, 2 y II, 3.</w:t>
      </w:r>
    </w:p>
  </w:footnote>
  <w:footnote w:id="84">
    <w:p w:rsidR="00594317" w:rsidRPr="00F5458D" w:rsidRDefault="00594317" w:rsidP="00F5458D">
      <w:pPr>
        <w:pStyle w:val="Textonotapie"/>
        <w:rPr>
          <w:color w:val="auto"/>
          <w:lang w:val="es-ES"/>
        </w:rPr>
      </w:pPr>
      <w:r w:rsidRPr="00F5458D">
        <w:rPr>
          <w:rStyle w:val="Refdenotaalpie"/>
          <w:color w:val="auto"/>
        </w:rPr>
        <w:footnoteRef/>
      </w:r>
      <w:r w:rsidRPr="00F5458D">
        <w:rPr>
          <w:color w:val="auto"/>
        </w:rPr>
        <w:t xml:space="preserve"> </w:t>
      </w:r>
      <w:r w:rsidRPr="00F5458D">
        <w:rPr>
          <w:color w:val="auto"/>
          <w:lang w:val="es-ES"/>
        </w:rPr>
        <w:t>Cfr. Supra I, 2.3.</w:t>
      </w:r>
    </w:p>
  </w:footnote>
  <w:footnote w:id="85">
    <w:p w:rsidR="00A43E80" w:rsidRPr="00F5458D" w:rsidRDefault="00A43E80" w:rsidP="00F5458D">
      <w:pPr>
        <w:pStyle w:val="Textonotapie"/>
        <w:rPr>
          <w:color w:val="auto"/>
          <w:lang w:val="es-ES"/>
        </w:rPr>
      </w:pPr>
      <w:r w:rsidRPr="00F5458D">
        <w:rPr>
          <w:rStyle w:val="Refdenotaalpie"/>
          <w:color w:val="auto"/>
        </w:rPr>
        <w:footnoteRef/>
      </w:r>
      <w:r w:rsidRPr="00F5458D">
        <w:rPr>
          <w:color w:val="auto"/>
        </w:rPr>
        <w:t xml:space="preserve"> </w:t>
      </w:r>
      <w:r w:rsidRPr="00F5458D">
        <w:rPr>
          <w:color w:val="auto"/>
          <w:lang w:val="es-ES"/>
        </w:rPr>
        <w:t xml:space="preserve">Cfr. Supra III, 5.14. </w:t>
      </w:r>
    </w:p>
  </w:footnote>
  <w:footnote w:id="86">
    <w:p w:rsidR="00956AB4" w:rsidRPr="00F5458D" w:rsidRDefault="00956AB4" w:rsidP="00F5458D">
      <w:pPr>
        <w:pStyle w:val="Textonotapie"/>
        <w:rPr>
          <w:color w:val="auto"/>
          <w:lang w:val="es-ES"/>
        </w:rPr>
      </w:pPr>
      <w:r w:rsidRPr="00F5458D">
        <w:rPr>
          <w:rStyle w:val="Refdenotaalpie"/>
          <w:color w:val="auto"/>
        </w:rPr>
        <w:footnoteRef/>
      </w:r>
      <w:r w:rsidRPr="00F5458D">
        <w:rPr>
          <w:color w:val="auto"/>
        </w:rPr>
        <w:t xml:space="preserve"> </w:t>
      </w:r>
      <w:r w:rsidRPr="00F5458D">
        <w:rPr>
          <w:color w:val="auto"/>
          <w:lang w:val="es-ES"/>
        </w:rPr>
        <w:t xml:space="preserve">En esta línea argumentativa, en la Sentencia T-148 de 2019 (M.P. Gloria Stella Ortiz Delgado), la Corte expresó que el agente oficioso debe carecer </w:t>
      </w:r>
      <w:r w:rsidRPr="00F5458D">
        <w:rPr>
          <w:i/>
          <w:color w:val="auto"/>
          <w:lang w:val="es-ES"/>
        </w:rPr>
        <w:t>“de un interés propio en la acción que interpone, toda vez que la vulneración de derechos que se somete al conocimiento del juez sólo está relacionada con intereses individuales del titular de los mencionados derechos”.</w:t>
      </w:r>
      <w:r w:rsidRPr="00F5458D">
        <w:rPr>
          <w:color w:val="auto"/>
        </w:rPr>
        <w:t xml:space="preserve"> A ese respecto, igualmente pueden verse los fallos </w:t>
      </w:r>
      <w:r w:rsidRPr="00F5458D">
        <w:rPr>
          <w:color w:val="auto"/>
          <w:lang w:val="es-ES"/>
        </w:rPr>
        <w:t>T-452 de 2001 (M.P. Manuel José Cepeda Espinosa) y T-736 de 2017 (M.P. Gloria Stella Ortiz Delgado).</w:t>
      </w:r>
    </w:p>
  </w:footnote>
  <w:footnote w:id="87">
    <w:p w:rsidR="00364EBB" w:rsidRPr="00364EBB" w:rsidRDefault="00364EBB">
      <w:pPr>
        <w:pStyle w:val="Textonotapie"/>
        <w:rPr>
          <w:i/>
        </w:rPr>
      </w:pPr>
      <w:r>
        <w:rPr>
          <w:rStyle w:val="Refdenotaalpie"/>
        </w:rPr>
        <w:footnoteRef/>
      </w:r>
      <w:r>
        <w:t xml:space="preserve"> </w:t>
      </w:r>
      <w:r w:rsidRPr="00364EBB">
        <w:rPr>
          <w:i/>
        </w:rPr>
        <w:t>“Artículo 42. Procedencia. La acción de tutela procederá contra acciones u omisiones de particulares en los siguientes casos: 1. Cuando aquél contra quien se hubiere hecho la solicitud esté encargado de la prestación del servicio público de educación. 2. Cuando aquél contra quien se hubiere hecho la solicitud esté encargado de la prestación del servicio público de salud. 3. Cuando aquél contra quien se hubiere hecho la solicitud esté encargado de la prestación de servicios públicos. 4. Cuando la solicitud fuere dirigida contra una organización privada, contra quien la controla efectivamente o fuere el beneficiario real de la situación que motivó la acción, siempre y cuando el solicitante tenga una relación de subordinación o indefensión con tal organización. 5. Cuando aquél contra quien se hubiere hecho la solicitud viole o amenace violar el artículo 17 de la Constitución. 6. Cuando la entidad privada sea aquella contra quien se hubiere hecho la solicitud en ejercicio del hábeas data, de conformidad con lo establecido en el artículo 15 de la Constitución. 7. Cuando se solicite rectificación de informaciones inexactas o erróneas. En este caso se deberá anexar la transcripción de la información o la copia de la publicación y de la rectificación solicitada que no fue publicada en condiciones que aseguren la eficacia de la misma. 8. Cuando el particular actúe o deba actuar en ejercicio de funciones públicas, en cuyo caso se aplicará el mismo régimen que a las autoridades públicas. 9. Cuando la solicitud sea para tutelar quien se encuentre en situación de subordinación o indefensión respecto del particular contra el cual se interpuso la acción. Se presume la indefensión del menor que solicite la tutela”.</w:t>
      </w:r>
    </w:p>
  </w:footnote>
  <w:footnote w:id="88">
    <w:p w:rsidR="00851C61" w:rsidRPr="00F5458D" w:rsidRDefault="00851C61" w:rsidP="00F5458D">
      <w:pPr>
        <w:jc w:val="both"/>
        <w:rPr>
          <w:sz w:val="20"/>
          <w:szCs w:val="20"/>
        </w:rPr>
      </w:pPr>
      <w:r w:rsidRPr="00F5458D">
        <w:rPr>
          <w:rStyle w:val="Refdenotaalpie"/>
          <w:sz w:val="20"/>
          <w:szCs w:val="20"/>
        </w:rPr>
        <w:footnoteRef/>
      </w:r>
      <w:r w:rsidRPr="00F5458D">
        <w:rPr>
          <w:sz w:val="20"/>
          <w:szCs w:val="20"/>
        </w:rPr>
        <w:t xml:space="preserve"> Sentencia T-145 de 2016 (M.P. Luis Guillermo Guerrero Pérez).</w:t>
      </w:r>
    </w:p>
  </w:footnote>
  <w:footnote w:id="89">
    <w:p w:rsidR="00851C61" w:rsidRPr="00F5458D" w:rsidRDefault="00851C61" w:rsidP="00F5458D">
      <w:pPr>
        <w:jc w:val="both"/>
        <w:rPr>
          <w:sz w:val="20"/>
          <w:szCs w:val="20"/>
        </w:rPr>
      </w:pPr>
      <w:r w:rsidRPr="00F5458D">
        <w:rPr>
          <w:rStyle w:val="Refdenotaalpie"/>
          <w:sz w:val="20"/>
          <w:szCs w:val="20"/>
        </w:rPr>
        <w:footnoteRef/>
      </w:r>
      <w:r w:rsidRPr="00F5458D">
        <w:rPr>
          <w:sz w:val="20"/>
          <w:szCs w:val="20"/>
        </w:rPr>
        <w:t xml:space="preserve"> Cfr. Sentencias T-379 de 2013 y T-145 de 2016 (M.P. Luis Guillermo Guerrero Pérez).</w:t>
      </w:r>
    </w:p>
  </w:footnote>
  <w:footnote w:id="90">
    <w:p w:rsidR="00851C61" w:rsidRPr="00F5458D" w:rsidRDefault="00851C61" w:rsidP="00F5458D">
      <w:pPr>
        <w:jc w:val="both"/>
        <w:rPr>
          <w:sz w:val="20"/>
          <w:szCs w:val="20"/>
        </w:rPr>
      </w:pPr>
      <w:r w:rsidRPr="00F5458D">
        <w:rPr>
          <w:rStyle w:val="Refdenotaalpie"/>
          <w:sz w:val="20"/>
          <w:szCs w:val="20"/>
        </w:rPr>
        <w:footnoteRef/>
      </w:r>
      <w:r w:rsidRPr="00F5458D">
        <w:rPr>
          <w:sz w:val="20"/>
          <w:szCs w:val="20"/>
        </w:rPr>
        <w:t xml:space="preserve"> Sentencia T-405 de 2007 (M.P. Jaime Córdoba Triviño).</w:t>
      </w:r>
    </w:p>
  </w:footnote>
  <w:footnote w:id="91">
    <w:p w:rsidR="00092854" w:rsidRPr="00F5458D" w:rsidRDefault="00092854" w:rsidP="00F5458D">
      <w:pPr>
        <w:pStyle w:val="Textonotapie"/>
        <w:rPr>
          <w:color w:val="auto"/>
          <w:lang w:val="es-ES"/>
        </w:rPr>
      </w:pPr>
      <w:r w:rsidRPr="00F5458D">
        <w:rPr>
          <w:rStyle w:val="Refdenotaalpie"/>
          <w:color w:val="auto"/>
        </w:rPr>
        <w:footnoteRef/>
      </w:r>
      <w:r w:rsidRPr="00F5458D">
        <w:rPr>
          <w:color w:val="auto"/>
        </w:rPr>
        <w:t xml:space="preserve"> </w:t>
      </w:r>
      <w:r w:rsidRPr="00F5458D">
        <w:rPr>
          <w:color w:val="auto"/>
          <w:lang w:val="es-ES"/>
        </w:rPr>
        <w:t>Sentencia T-676 de 2015 (M.P. Luis Guillermo Guerrero Pérez), reiterando el fallo T-375 de 1996 (M. P. Eduardo Cifuentes Muñoz).</w:t>
      </w:r>
    </w:p>
  </w:footnote>
  <w:footnote w:id="92">
    <w:p w:rsidR="00956AB4" w:rsidRPr="00F5458D" w:rsidRDefault="00956AB4" w:rsidP="00F5458D">
      <w:pPr>
        <w:pStyle w:val="Textonotapie"/>
        <w:rPr>
          <w:color w:val="auto"/>
        </w:rPr>
      </w:pPr>
      <w:r w:rsidRPr="00F5458D">
        <w:rPr>
          <w:rStyle w:val="Refdenotaalpie"/>
          <w:color w:val="auto"/>
        </w:rPr>
        <w:footnoteRef/>
      </w:r>
      <w:r w:rsidRPr="00F5458D">
        <w:rPr>
          <w:color w:val="auto"/>
        </w:rPr>
        <w:t xml:space="preserve"> Supra II, 3.10.</w:t>
      </w:r>
    </w:p>
  </w:footnote>
  <w:footnote w:id="93">
    <w:p w:rsidR="00956AB4" w:rsidRPr="00F5458D" w:rsidRDefault="00956AB4" w:rsidP="00F5458D">
      <w:pPr>
        <w:pStyle w:val="Textonotapie"/>
        <w:rPr>
          <w:color w:val="auto"/>
        </w:rPr>
      </w:pPr>
      <w:r w:rsidRPr="00F5458D">
        <w:rPr>
          <w:rStyle w:val="Refdenotaalpie"/>
          <w:color w:val="auto"/>
        </w:rPr>
        <w:footnoteRef/>
      </w:r>
      <w:r w:rsidRPr="00F5458D">
        <w:rPr>
          <w:color w:val="auto"/>
        </w:rPr>
        <w:t xml:space="preserve"> Supra I, 1.5.</w:t>
      </w:r>
    </w:p>
  </w:footnote>
  <w:footnote w:id="94">
    <w:p w:rsidR="00956AB4" w:rsidRPr="00F5458D" w:rsidRDefault="00956AB4" w:rsidP="00F5458D">
      <w:pPr>
        <w:pStyle w:val="Textonotapie"/>
        <w:rPr>
          <w:color w:val="auto"/>
        </w:rPr>
      </w:pPr>
      <w:r w:rsidRPr="00F5458D">
        <w:rPr>
          <w:rStyle w:val="Refdenotaalpie"/>
          <w:color w:val="auto"/>
        </w:rPr>
        <w:footnoteRef/>
      </w:r>
      <w:r w:rsidRPr="00F5458D">
        <w:rPr>
          <w:color w:val="auto"/>
        </w:rPr>
        <w:t xml:space="preserve"> Supra II, 3.7.</w:t>
      </w:r>
    </w:p>
  </w:footnote>
  <w:footnote w:id="95">
    <w:p w:rsidR="00864080" w:rsidRPr="00F5458D" w:rsidRDefault="00864080" w:rsidP="00F5458D">
      <w:pPr>
        <w:pStyle w:val="Textonotapie"/>
        <w:rPr>
          <w:color w:val="auto"/>
        </w:rPr>
      </w:pPr>
      <w:r w:rsidRPr="00F5458D">
        <w:rPr>
          <w:rStyle w:val="Refdenotaalpie"/>
          <w:color w:val="auto"/>
        </w:rPr>
        <w:footnoteRef/>
      </w:r>
      <w:r w:rsidRPr="00F5458D">
        <w:rPr>
          <w:color w:val="auto"/>
        </w:rPr>
        <w:t xml:space="preserve"> Supra I, 3.</w:t>
      </w:r>
    </w:p>
  </w:footnote>
  <w:footnote w:id="96">
    <w:p w:rsidR="000F7F1D" w:rsidRPr="00F5458D" w:rsidRDefault="000F7F1D" w:rsidP="00F5458D">
      <w:pPr>
        <w:pStyle w:val="Textonotapie"/>
        <w:rPr>
          <w:color w:val="auto"/>
        </w:rPr>
      </w:pPr>
      <w:r w:rsidRPr="00F5458D">
        <w:rPr>
          <w:rStyle w:val="Refdenotaalpie"/>
          <w:color w:val="auto"/>
        </w:rPr>
        <w:footnoteRef/>
      </w:r>
      <w:r w:rsidRPr="00F5458D">
        <w:rPr>
          <w:color w:val="auto"/>
        </w:rPr>
        <w:t xml:space="preserve"> </w:t>
      </w:r>
      <w:r w:rsidR="001076DF" w:rsidRPr="00F5458D">
        <w:rPr>
          <w:color w:val="auto"/>
        </w:rPr>
        <w:t>Cfr. Sentencia T-368 de 2017</w:t>
      </w:r>
      <w:r w:rsidR="00066F6F" w:rsidRPr="00F5458D">
        <w:rPr>
          <w:color w:val="auto"/>
        </w:rPr>
        <w:t xml:space="preserve"> (M.P. José Antonio Cepeda Amarís)</w:t>
      </w:r>
      <w:r w:rsidR="001076DF" w:rsidRPr="00F5458D">
        <w:rPr>
          <w:color w:val="auto"/>
        </w:rPr>
        <w:t>, reiterando el fallo T-492 de 2013 (M.P. Luis Guillermo Guerrero Pérez).</w:t>
      </w:r>
    </w:p>
  </w:footnote>
  <w:footnote w:id="97">
    <w:p w:rsidR="00066F6F" w:rsidRPr="00F5458D" w:rsidRDefault="00066F6F" w:rsidP="00F5458D">
      <w:pPr>
        <w:pStyle w:val="Textonotapie"/>
        <w:rPr>
          <w:color w:val="auto"/>
        </w:rPr>
      </w:pPr>
      <w:r w:rsidRPr="00F5458D">
        <w:rPr>
          <w:rStyle w:val="Refdenotaalpie"/>
          <w:color w:val="auto"/>
        </w:rPr>
        <w:footnoteRef/>
      </w:r>
      <w:r w:rsidRPr="00F5458D">
        <w:rPr>
          <w:color w:val="auto"/>
        </w:rPr>
        <w:t xml:space="preserve"> Supra III, 5.4.</w:t>
      </w:r>
    </w:p>
  </w:footnote>
  <w:footnote w:id="98">
    <w:p w:rsidR="00066F6F" w:rsidRPr="00F5458D" w:rsidRDefault="00066F6F" w:rsidP="00F5458D">
      <w:pPr>
        <w:pStyle w:val="Textonotapie"/>
        <w:rPr>
          <w:color w:val="auto"/>
        </w:rPr>
      </w:pPr>
      <w:r w:rsidRPr="00F5458D">
        <w:rPr>
          <w:rStyle w:val="Refdenotaalpie"/>
          <w:color w:val="auto"/>
        </w:rPr>
        <w:footnoteRef/>
      </w:r>
      <w:r w:rsidRPr="00F5458D">
        <w:rPr>
          <w:color w:val="auto"/>
        </w:rPr>
        <w:t xml:space="preserve"> Sentencia T-1090 de 2004 (M.P. Rodrigo Escobar Gil).</w:t>
      </w:r>
    </w:p>
  </w:footnote>
  <w:footnote w:id="99">
    <w:p w:rsidR="00066F6F" w:rsidRPr="00F5458D" w:rsidRDefault="00066F6F" w:rsidP="00F5458D">
      <w:pPr>
        <w:pStyle w:val="Textonotapie"/>
        <w:rPr>
          <w:color w:val="auto"/>
        </w:rPr>
      </w:pPr>
      <w:r w:rsidRPr="00F5458D">
        <w:rPr>
          <w:rStyle w:val="Refdenotaalpie"/>
          <w:color w:val="auto"/>
        </w:rPr>
        <w:footnoteRef/>
      </w:r>
      <w:r w:rsidRPr="00F5458D">
        <w:rPr>
          <w:color w:val="auto"/>
        </w:rPr>
        <w:t xml:space="preserve"> Ibídem. </w:t>
      </w:r>
    </w:p>
  </w:footnote>
  <w:footnote w:id="100">
    <w:p w:rsidR="00066F6F" w:rsidRPr="00F5458D" w:rsidRDefault="00066F6F" w:rsidP="00F5458D">
      <w:pPr>
        <w:pStyle w:val="Textonotapie"/>
        <w:rPr>
          <w:color w:val="auto"/>
        </w:rPr>
      </w:pPr>
      <w:r w:rsidRPr="00F5458D">
        <w:rPr>
          <w:rStyle w:val="Refdenotaalpie"/>
          <w:color w:val="auto"/>
        </w:rPr>
        <w:footnoteRef/>
      </w:r>
      <w:r w:rsidRPr="00F5458D">
        <w:rPr>
          <w:color w:val="auto"/>
        </w:rPr>
        <w:t xml:space="preserve"> Cfr. Sentencias T-1090 de 2004 (M.P. Rodrigo Escobar Gil), T-558 de 2005 (M.P. Rodrigo Escobar Gil) y T-024 de 2014 (M.P. Gabriel Eduardo Mendoza Martelo).</w:t>
      </w:r>
    </w:p>
  </w:footnote>
  <w:footnote w:id="101">
    <w:p w:rsidR="00066F6F" w:rsidRPr="00F5458D" w:rsidRDefault="00066F6F" w:rsidP="00F5458D">
      <w:pPr>
        <w:pStyle w:val="Textonotapie"/>
        <w:rPr>
          <w:color w:val="auto"/>
        </w:rPr>
      </w:pPr>
      <w:r w:rsidRPr="00F5458D">
        <w:rPr>
          <w:rStyle w:val="Refdenotaalpie"/>
          <w:color w:val="auto"/>
        </w:rPr>
        <w:footnoteRef/>
      </w:r>
      <w:r w:rsidRPr="00F5458D">
        <w:rPr>
          <w:color w:val="auto"/>
        </w:rPr>
        <w:t xml:space="preserve"> Supra II, 3.3.</w:t>
      </w:r>
    </w:p>
  </w:footnote>
  <w:footnote w:id="102">
    <w:p w:rsidR="00066F6F" w:rsidRPr="00F5458D" w:rsidRDefault="00066F6F" w:rsidP="00F5458D">
      <w:pPr>
        <w:pStyle w:val="Textonotapie"/>
        <w:rPr>
          <w:color w:val="auto"/>
        </w:rPr>
      </w:pPr>
      <w:r w:rsidRPr="00F5458D">
        <w:rPr>
          <w:rStyle w:val="Refdenotaalpie"/>
          <w:color w:val="auto"/>
        </w:rPr>
        <w:footnoteRef/>
      </w:r>
      <w:r w:rsidRPr="00F5458D">
        <w:rPr>
          <w:color w:val="auto"/>
        </w:rPr>
        <w:t xml:space="preserve"> Supra III, 5.10 a 5.14.</w:t>
      </w:r>
    </w:p>
  </w:footnote>
  <w:footnote w:id="103">
    <w:p w:rsidR="00066F6F" w:rsidRPr="00F5458D" w:rsidRDefault="00066F6F" w:rsidP="00F5458D">
      <w:pPr>
        <w:pStyle w:val="Textonotapie"/>
        <w:rPr>
          <w:color w:val="auto"/>
        </w:rPr>
      </w:pPr>
      <w:r w:rsidRPr="00F5458D">
        <w:rPr>
          <w:rStyle w:val="Refdenotaalpie"/>
          <w:color w:val="auto"/>
        </w:rPr>
        <w:footnoteRef/>
      </w:r>
      <w:r w:rsidRPr="00F5458D">
        <w:rPr>
          <w:color w:val="auto"/>
        </w:rPr>
        <w:t xml:space="preserve"> Supra II, 3.10.</w:t>
      </w:r>
    </w:p>
  </w:footnote>
  <w:footnote w:id="104">
    <w:p w:rsidR="00834C85" w:rsidRPr="00F5458D" w:rsidRDefault="00834C85" w:rsidP="00F5458D">
      <w:pPr>
        <w:pStyle w:val="Textonotapie"/>
        <w:rPr>
          <w:color w:val="auto"/>
        </w:rPr>
      </w:pPr>
      <w:r w:rsidRPr="00F5458D">
        <w:rPr>
          <w:rStyle w:val="Refdenotaalpie"/>
          <w:color w:val="auto"/>
        </w:rPr>
        <w:footnoteRef/>
      </w:r>
      <w:r w:rsidRPr="00F5458D">
        <w:rPr>
          <w:color w:val="auto"/>
        </w:rPr>
        <w:t xml:space="preserve"> Supra II, 3.5 y siguientes.</w:t>
      </w:r>
    </w:p>
  </w:footnote>
  <w:footnote w:id="105">
    <w:p w:rsidR="00834C85" w:rsidRPr="00F5458D" w:rsidRDefault="00834C85" w:rsidP="00F5458D">
      <w:pPr>
        <w:pStyle w:val="Textonotapie"/>
        <w:rPr>
          <w:color w:val="auto"/>
        </w:rPr>
      </w:pPr>
      <w:r w:rsidRPr="00F5458D">
        <w:rPr>
          <w:rStyle w:val="Refdenotaalpie"/>
          <w:color w:val="auto"/>
        </w:rPr>
        <w:footnoteRef/>
      </w:r>
      <w:r w:rsidRPr="00F5458D">
        <w:rPr>
          <w:color w:val="auto"/>
        </w:rPr>
        <w:t xml:space="preserve"> Supra III, 5.</w:t>
      </w:r>
    </w:p>
  </w:footnote>
  <w:footnote w:id="106">
    <w:p w:rsidR="00834C85" w:rsidRPr="00F5458D" w:rsidRDefault="00834C85" w:rsidP="00F5458D">
      <w:pPr>
        <w:pStyle w:val="Textonotapie"/>
        <w:rPr>
          <w:color w:val="auto"/>
        </w:rPr>
      </w:pPr>
      <w:r w:rsidRPr="00F5458D">
        <w:rPr>
          <w:rStyle w:val="Refdenotaalpie"/>
          <w:color w:val="auto"/>
        </w:rPr>
        <w:footnoteRef/>
      </w:r>
      <w:r w:rsidRPr="00F5458D">
        <w:rPr>
          <w:color w:val="auto"/>
        </w:rPr>
        <w:t xml:space="preserve"> Supra II, 3.10.</w:t>
      </w:r>
    </w:p>
  </w:footnote>
  <w:footnote w:id="107">
    <w:p w:rsidR="00834C85" w:rsidRPr="00F5458D" w:rsidRDefault="00834C85" w:rsidP="00F5458D">
      <w:pPr>
        <w:pStyle w:val="Textonotapie"/>
        <w:rPr>
          <w:color w:val="auto"/>
        </w:rPr>
      </w:pPr>
      <w:r w:rsidRPr="00F5458D">
        <w:rPr>
          <w:rStyle w:val="Refdenotaalpie"/>
          <w:color w:val="auto"/>
        </w:rPr>
        <w:footnoteRef/>
      </w:r>
      <w:r w:rsidRPr="00F5458D">
        <w:rPr>
          <w:color w:val="auto"/>
        </w:rPr>
        <w:t xml:space="preserve"> Cfr. Artículos </w:t>
      </w:r>
      <w:r w:rsidR="00226F48" w:rsidRPr="00F5458D">
        <w:rPr>
          <w:color w:val="auto"/>
        </w:rPr>
        <w:t>118 de la Constitución y 178 de la Ley 136 de 1994.</w:t>
      </w:r>
    </w:p>
  </w:footnote>
  <w:footnote w:id="108">
    <w:p w:rsidR="00834C85" w:rsidRPr="00F5458D" w:rsidRDefault="00834C85" w:rsidP="00F5458D">
      <w:pPr>
        <w:pStyle w:val="Textonotapie"/>
        <w:rPr>
          <w:color w:val="auto"/>
        </w:rPr>
      </w:pPr>
      <w:r w:rsidRPr="00F5458D">
        <w:rPr>
          <w:rStyle w:val="Refdenotaalpie"/>
          <w:color w:val="auto"/>
        </w:rPr>
        <w:footnoteRef/>
      </w:r>
      <w:r w:rsidRPr="00F5458D">
        <w:rPr>
          <w:color w:val="auto"/>
        </w:rPr>
        <w:t xml:space="preserve"> Supra II, 4.</w:t>
      </w:r>
    </w:p>
  </w:footnote>
  <w:footnote w:id="109">
    <w:p w:rsidR="00834C85" w:rsidRPr="00F5458D" w:rsidRDefault="00834C85" w:rsidP="00F5458D">
      <w:pPr>
        <w:pStyle w:val="Textonotapie"/>
        <w:rPr>
          <w:color w:val="auto"/>
        </w:rPr>
      </w:pPr>
      <w:r w:rsidRPr="00F5458D">
        <w:rPr>
          <w:rStyle w:val="Refdenotaalpie"/>
          <w:color w:val="auto"/>
        </w:rPr>
        <w:footnoteRef/>
      </w:r>
      <w:r w:rsidRPr="00F5458D">
        <w:rPr>
          <w:color w:val="auto"/>
        </w:rPr>
        <w:t xml:space="preserve"> Supra II,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5C" w:rsidRDefault="00175A5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75A5C" w:rsidRDefault="00175A5C">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DF02C9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00000000"/>
    <w:lvl w:ilvl="0" w:tplc="FFFFFFFF">
      <w:start w:val="1"/>
      <w:numFmt w:val="lowerRoman"/>
      <w:lvlText w:val="(%1)"/>
      <w:lvlJc w:val="left"/>
      <w:pPr>
        <w:tabs>
          <w:tab w:val="num" w:pos="1755"/>
        </w:tabs>
        <w:ind w:left="1755" w:hanging="1395"/>
      </w:pPr>
      <w:rPr>
        <w:rFonts w:cs="Times New Roman"/>
        <w:sz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086F3C77"/>
    <w:multiLevelType w:val="hybridMultilevel"/>
    <w:tmpl w:val="01C663D6"/>
    <w:lvl w:ilvl="0" w:tplc="7C86827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A76D1A"/>
    <w:multiLevelType w:val="multilevel"/>
    <w:tmpl w:val="AE3EFB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C85B9A"/>
    <w:multiLevelType w:val="multilevel"/>
    <w:tmpl w:val="F8B03A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5737BC"/>
    <w:multiLevelType w:val="hybridMultilevel"/>
    <w:tmpl w:val="9A1EDB1C"/>
    <w:lvl w:ilvl="0" w:tplc="4D36936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5C71D6"/>
    <w:multiLevelType w:val="multilevel"/>
    <w:tmpl w:val="D6B69410"/>
    <w:lvl w:ilvl="0">
      <w:start w:val="1"/>
      <w:numFmt w:val="decimal"/>
      <w:lvlText w:val="%1."/>
      <w:lvlJc w:val="left"/>
      <w:pPr>
        <w:ind w:left="786" w:hanging="360"/>
      </w:pPr>
      <w:rPr>
        <w:rFonts w:cs="Times New Roman" w:hint="default"/>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2280" w:hanging="720"/>
      </w:pPr>
      <w:rPr>
        <w:rFonts w:cs="Times New Roman" w:hint="default"/>
        <w:b w:val="0"/>
        <w:i w:val="0"/>
      </w:rPr>
    </w:lvl>
    <w:lvl w:ilvl="3">
      <w:start w:val="1"/>
      <w:numFmt w:val="decimal"/>
      <w:isLgl/>
      <w:lvlText w:val="%1.%2.%3.%4."/>
      <w:lvlJc w:val="left"/>
      <w:pPr>
        <w:ind w:left="3916"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7" w15:restartNumberingAfterBreak="0">
    <w:nsid w:val="16AC0269"/>
    <w:multiLevelType w:val="hybridMultilevel"/>
    <w:tmpl w:val="C6541020"/>
    <w:lvl w:ilvl="0" w:tplc="4E3226AA">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98513D"/>
    <w:multiLevelType w:val="hybridMultilevel"/>
    <w:tmpl w:val="BE22CA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0301BEA"/>
    <w:multiLevelType w:val="multilevel"/>
    <w:tmpl w:val="3A3ECDC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DF4C93"/>
    <w:multiLevelType w:val="hybridMultilevel"/>
    <w:tmpl w:val="5B46009E"/>
    <w:lvl w:ilvl="0" w:tplc="99224946">
      <w:start w:val="1"/>
      <w:numFmt w:val="lowerRoman"/>
      <w:lvlText w:val="(%1)"/>
      <w:lvlJc w:val="left"/>
      <w:pPr>
        <w:ind w:left="947" w:hanging="720"/>
      </w:pPr>
      <w:rPr>
        <w:rFonts w:hint="default"/>
      </w:rPr>
    </w:lvl>
    <w:lvl w:ilvl="1" w:tplc="0C0A0019" w:tentative="1">
      <w:start w:val="1"/>
      <w:numFmt w:val="lowerLetter"/>
      <w:lvlText w:val="%2."/>
      <w:lvlJc w:val="left"/>
      <w:pPr>
        <w:ind w:left="1307" w:hanging="360"/>
      </w:pPr>
    </w:lvl>
    <w:lvl w:ilvl="2" w:tplc="0C0A001B" w:tentative="1">
      <w:start w:val="1"/>
      <w:numFmt w:val="lowerRoman"/>
      <w:lvlText w:val="%3."/>
      <w:lvlJc w:val="right"/>
      <w:pPr>
        <w:ind w:left="2027" w:hanging="180"/>
      </w:pPr>
    </w:lvl>
    <w:lvl w:ilvl="3" w:tplc="0C0A000F" w:tentative="1">
      <w:start w:val="1"/>
      <w:numFmt w:val="decimal"/>
      <w:lvlText w:val="%4."/>
      <w:lvlJc w:val="left"/>
      <w:pPr>
        <w:ind w:left="2747" w:hanging="360"/>
      </w:pPr>
    </w:lvl>
    <w:lvl w:ilvl="4" w:tplc="0C0A0019" w:tentative="1">
      <w:start w:val="1"/>
      <w:numFmt w:val="lowerLetter"/>
      <w:lvlText w:val="%5."/>
      <w:lvlJc w:val="left"/>
      <w:pPr>
        <w:ind w:left="3467" w:hanging="360"/>
      </w:pPr>
    </w:lvl>
    <w:lvl w:ilvl="5" w:tplc="0C0A001B" w:tentative="1">
      <w:start w:val="1"/>
      <w:numFmt w:val="lowerRoman"/>
      <w:lvlText w:val="%6."/>
      <w:lvlJc w:val="right"/>
      <w:pPr>
        <w:ind w:left="4187" w:hanging="180"/>
      </w:pPr>
    </w:lvl>
    <w:lvl w:ilvl="6" w:tplc="0C0A000F" w:tentative="1">
      <w:start w:val="1"/>
      <w:numFmt w:val="decimal"/>
      <w:lvlText w:val="%7."/>
      <w:lvlJc w:val="left"/>
      <w:pPr>
        <w:ind w:left="4907" w:hanging="360"/>
      </w:pPr>
    </w:lvl>
    <w:lvl w:ilvl="7" w:tplc="0C0A0019" w:tentative="1">
      <w:start w:val="1"/>
      <w:numFmt w:val="lowerLetter"/>
      <w:lvlText w:val="%8."/>
      <w:lvlJc w:val="left"/>
      <w:pPr>
        <w:ind w:left="5627" w:hanging="360"/>
      </w:pPr>
    </w:lvl>
    <w:lvl w:ilvl="8" w:tplc="0C0A001B" w:tentative="1">
      <w:start w:val="1"/>
      <w:numFmt w:val="lowerRoman"/>
      <w:lvlText w:val="%9."/>
      <w:lvlJc w:val="right"/>
      <w:pPr>
        <w:ind w:left="6347" w:hanging="180"/>
      </w:pPr>
    </w:lvl>
  </w:abstractNum>
  <w:abstractNum w:abstractNumId="11" w15:restartNumberingAfterBreak="0">
    <w:nsid w:val="23051D8D"/>
    <w:multiLevelType w:val="hybridMultilevel"/>
    <w:tmpl w:val="8800EF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983B87"/>
    <w:multiLevelType w:val="hybridMultilevel"/>
    <w:tmpl w:val="E830FB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ED117C"/>
    <w:multiLevelType w:val="hybridMultilevel"/>
    <w:tmpl w:val="0E1EFC3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8AD2786"/>
    <w:multiLevelType w:val="multilevel"/>
    <w:tmpl w:val="E708AE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17647C"/>
    <w:multiLevelType w:val="multilevel"/>
    <w:tmpl w:val="8EFAAED2"/>
    <w:lvl w:ilvl="0">
      <w:start w:val="1"/>
      <w:numFmt w:val="decimal"/>
      <w:lvlText w:val="%1."/>
      <w:lvlJc w:val="left"/>
      <w:pPr>
        <w:tabs>
          <w:tab w:val="num" w:pos="795"/>
        </w:tabs>
        <w:ind w:left="795" w:hanging="435"/>
      </w:pPr>
      <w:rPr>
        <w:rFonts w:cs="Times New Roman" w:hint="default"/>
      </w:rPr>
    </w:lvl>
    <w:lvl w:ilvl="1">
      <w:start w:val="2"/>
      <w:numFmt w:val="decimal"/>
      <w:isLgl/>
      <w:lvlText w:val="%1.%2."/>
      <w:lvlJc w:val="left"/>
      <w:pPr>
        <w:tabs>
          <w:tab w:val="num" w:pos="1080"/>
        </w:tabs>
        <w:ind w:left="1080" w:hanging="72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16" w15:restartNumberingAfterBreak="0">
    <w:nsid w:val="2A552E01"/>
    <w:multiLevelType w:val="hybridMultilevel"/>
    <w:tmpl w:val="65DADA94"/>
    <w:lvl w:ilvl="0" w:tplc="8ADEE170">
      <w:start w:val="1"/>
      <w:numFmt w:val="decimal"/>
      <w:pStyle w:val="Ttulo2"/>
      <w:lvlText w:val="%1."/>
      <w:lvlJc w:val="left"/>
      <w:pPr>
        <w:tabs>
          <w:tab w:val="num" w:pos="0"/>
        </w:tabs>
        <w:ind w:left="720" w:hanging="360"/>
      </w:pPr>
      <w:rPr>
        <w:rFonts w:cs="Times New Roman" w:hint="default"/>
      </w:rPr>
    </w:lvl>
    <w:lvl w:ilvl="1" w:tplc="0C0A000F">
      <w:start w:val="1"/>
      <w:numFmt w:val="decimal"/>
      <w:lvlText w:val="%2."/>
      <w:lvlJc w:val="left"/>
      <w:pPr>
        <w:tabs>
          <w:tab w:val="num" w:pos="1440"/>
        </w:tabs>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7" w15:restartNumberingAfterBreak="0">
    <w:nsid w:val="2A5C34B3"/>
    <w:multiLevelType w:val="hybridMultilevel"/>
    <w:tmpl w:val="27FC3A62"/>
    <w:lvl w:ilvl="0" w:tplc="4D6EF254">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225F66"/>
    <w:multiLevelType w:val="multilevel"/>
    <w:tmpl w:val="10EEC1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0685389"/>
    <w:multiLevelType w:val="hybridMultilevel"/>
    <w:tmpl w:val="75E09908"/>
    <w:lvl w:ilvl="0" w:tplc="C7603C22">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1F1397B"/>
    <w:multiLevelType w:val="hybridMultilevel"/>
    <w:tmpl w:val="700A9D5E"/>
    <w:lvl w:ilvl="0" w:tplc="BEE4CA8E">
      <w:start w:val="11"/>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8A60ED"/>
    <w:multiLevelType w:val="multilevel"/>
    <w:tmpl w:val="DC8EE9B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853850"/>
    <w:multiLevelType w:val="hybridMultilevel"/>
    <w:tmpl w:val="C29A2C9C"/>
    <w:lvl w:ilvl="0" w:tplc="1F0EB8BE">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46C81BFC"/>
    <w:multiLevelType w:val="hybridMultilevel"/>
    <w:tmpl w:val="506EEA72"/>
    <w:lvl w:ilvl="0" w:tplc="9A6A855A">
      <w:start w:val="1"/>
      <w:numFmt w:val="lowerRoman"/>
      <w:lvlText w:val="(%1)"/>
      <w:lvlJc w:val="left"/>
      <w:pPr>
        <w:ind w:left="1117" w:hanging="720"/>
      </w:pPr>
      <w:rPr>
        <w:rFonts w:hint="default"/>
        <w:b/>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24" w15:restartNumberingAfterBreak="0">
    <w:nsid w:val="4AFA2961"/>
    <w:multiLevelType w:val="multilevel"/>
    <w:tmpl w:val="536260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B966E04"/>
    <w:multiLevelType w:val="hybridMultilevel"/>
    <w:tmpl w:val="3F0C421E"/>
    <w:lvl w:ilvl="0" w:tplc="81D66996">
      <w:start w:val="1"/>
      <w:numFmt w:val="lowerRoman"/>
      <w:lvlText w:val="%1)"/>
      <w:lvlJc w:val="left"/>
      <w:pPr>
        <w:ind w:left="1287" w:hanging="720"/>
      </w:pPr>
      <w:rPr>
        <w:rFonts w:cs="Times New Roman" w:hint="default"/>
        <w:i w:val="0"/>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26" w15:restartNumberingAfterBreak="0">
    <w:nsid w:val="52C63857"/>
    <w:multiLevelType w:val="hybridMultilevel"/>
    <w:tmpl w:val="A9B621F8"/>
    <w:lvl w:ilvl="0" w:tplc="94CA9A9E">
      <w:start w:val="2"/>
      <w:numFmt w:val="decimal"/>
      <w:lvlText w:val="%1."/>
      <w:lvlJc w:val="left"/>
      <w:pPr>
        <w:ind w:left="1211" w:hanging="360"/>
      </w:pPr>
      <w:rPr>
        <w:rFonts w:cs="Times New Roman" w:hint="default"/>
        <w:b w:val="0"/>
        <w:i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53F236ED"/>
    <w:multiLevelType w:val="hybridMultilevel"/>
    <w:tmpl w:val="13286466"/>
    <w:lvl w:ilvl="0" w:tplc="95CAD3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6997EB3"/>
    <w:multiLevelType w:val="hybridMultilevel"/>
    <w:tmpl w:val="5A8052E4"/>
    <w:lvl w:ilvl="0" w:tplc="13724E68">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0937F9"/>
    <w:multiLevelType w:val="hybridMultilevel"/>
    <w:tmpl w:val="C9BCAC80"/>
    <w:lvl w:ilvl="0" w:tplc="D598B8DE">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C1961D4"/>
    <w:multiLevelType w:val="hybridMultilevel"/>
    <w:tmpl w:val="4224B844"/>
    <w:lvl w:ilvl="0" w:tplc="C18CD26C">
      <w:start w:val="1"/>
      <w:numFmt w:val="decimal"/>
      <w:lvlText w:val="%1."/>
      <w:lvlJc w:val="left"/>
      <w:pPr>
        <w:ind w:left="2574" w:hanging="360"/>
      </w:pPr>
      <w:rPr>
        <w:rFonts w:hint="default"/>
        <w:b/>
      </w:rPr>
    </w:lvl>
    <w:lvl w:ilvl="1" w:tplc="240A0019" w:tentative="1">
      <w:start w:val="1"/>
      <w:numFmt w:val="lowerLetter"/>
      <w:lvlText w:val="%2."/>
      <w:lvlJc w:val="left"/>
      <w:pPr>
        <w:ind w:left="3294" w:hanging="360"/>
      </w:pPr>
    </w:lvl>
    <w:lvl w:ilvl="2" w:tplc="240A001B" w:tentative="1">
      <w:start w:val="1"/>
      <w:numFmt w:val="lowerRoman"/>
      <w:lvlText w:val="%3."/>
      <w:lvlJc w:val="right"/>
      <w:pPr>
        <w:ind w:left="4014" w:hanging="180"/>
      </w:pPr>
    </w:lvl>
    <w:lvl w:ilvl="3" w:tplc="240A000F" w:tentative="1">
      <w:start w:val="1"/>
      <w:numFmt w:val="decimal"/>
      <w:lvlText w:val="%4."/>
      <w:lvlJc w:val="left"/>
      <w:pPr>
        <w:ind w:left="4734" w:hanging="360"/>
      </w:pPr>
    </w:lvl>
    <w:lvl w:ilvl="4" w:tplc="240A0019" w:tentative="1">
      <w:start w:val="1"/>
      <w:numFmt w:val="lowerLetter"/>
      <w:lvlText w:val="%5."/>
      <w:lvlJc w:val="left"/>
      <w:pPr>
        <w:ind w:left="5454" w:hanging="360"/>
      </w:pPr>
    </w:lvl>
    <w:lvl w:ilvl="5" w:tplc="240A001B" w:tentative="1">
      <w:start w:val="1"/>
      <w:numFmt w:val="lowerRoman"/>
      <w:lvlText w:val="%6."/>
      <w:lvlJc w:val="right"/>
      <w:pPr>
        <w:ind w:left="6174" w:hanging="180"/>
      </w:pPr>
    </w:lvl>
    <w:lvl w:ilvl="6" w:tplc="240A000F" w:tentative="1">
      <w:start w:val="1"/>
      <w:numFmt w:val="decimal"/>
      <w:lvlText w:val="%7."/>
      <w:lvlJc w:val="left"/>
      <w:pPr>
        <w:ind w:left="6894" w:hanging="360"/>
      </w:pPr>
    </w:lvl>
    <w:lvl w:ilvl="7" w:tplc="240A0019" w:tentative="1">
      <w:start w:val="1"/>
      <w:numFmt w:val="lowerLetter"/>
      <w:lvlText w:val="%8."/>
      <w:lvlJc w:val="left"/>
      <w:pPr>
        <w:ind w:left="7614" w:hanging="360"/>
      </w:pPr>
    </w:lvl>
    <w:lvl w:ilvl="8" w:tplc="240A001B" w:tentative="1">
      <w:start w:val="1"/>
      <w:numFmt w:val="lowerRoman"/>
      <w:lvlText w:val="%9."/>
      <w:lvlJc w:val="right"/>
      <w:pPr>
        <w:ind w:left="8334" w:hanging="180"/>
      </w:pPr>
    </w:lvl>
  </w:abstractNum>
  <w:abstractNum w:abstractNumId="31" w15:restartNumberingAfterBreak="0">
    <w:nsid w:val="5D276800"/>
    <w:multiLevelType w:val="multilevel"/>
    <w:tmpl w:val="261429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0EE4A0D"/>
    <w:multiLevelType w:val="hybridMultilevel"/>
    <w:tmpl w:val="D6203AEC"/>
    <w:lvl w:ilvl="0" w:tplc="3566D098">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9A5335E"/>
    <w:multiLevelType w:val="multilevel"/>
    <w:tmpl w:val="451EF7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B265B1E"/>
    <w:multiLevelType w:val="hybridMultilevel"/>
    <w:tmpl w:val="C540C34E"/>
    <w:lvl w:ilvl="0" w:tplc="2D300E9C">
      <w:start w:val="1"/>
      <w:numFmt w:val="lowerRoman"/>
      <w:lvlText w:val="(%1)"/>
      <w:lvlJc w:val="left"/>
      <w:pPr>
        <w:ind w:left="1117" w:hanging="72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35" w15:restartNumberingAfterBreak="0">
    <w:nsid w:val="6B9B63DC"/>
    <w:multiLevelType w:val="hybridMultilevel"/>
    <w:tmpl w:val="1EFCFC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FA27453"/>
    <w:multiLevelType w:val="hybridMultilevel"/>
    <w:tmpl w:val="AF8C3B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32A5B4E"/>
    <w:multiLevelType w:val="hybridMultilevel"/>
    <w:tmpl w:val="E70C3F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F151532"/>
    <w:multiLevelType w:val="hybridMultilevel"/>
    <w:tmpl w:val="CA9C4EB8"/>
    <w:lvl w:ilvl="0" w:tplc="F000C324">
      <w:start w:val="12"/>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FEC4619"/>
    <w:multiLevelType w:val="multilevel"/>
    <w:tmpl w:val="CFB04C4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8"/>
  </w:num>
  <w:num w:numId="3">
    <w:abstractNumId w:val="14"/>
  </w:num>
  <w:num w:numId="4">
    <w:abstractNumId w:val="31"/>
  </w:num>
  <w:num w:numId="5">
    <w:abstractNumId w:val="30"/>
  </w:num>
  <w:num w:numId="6">
    <w:abstractNumId w:val="35"/>
  </w:num>
  <w:num w:numId="7">
    <w:abstractNumId w:val="37"/>
  </w:num>
  <w:num w:numId="8">
    <w:abstractNumId w:val="1"/>
  </w:num>
  <w:num w:numId="9">
    <w:abstractNumId w:val="17"/>
  </w:num>
  <w:num w:numId="10">
    <w:abstractNumId w:val="19"/>
  </w:num>
  <w:num w:numId="11">
    <w:abstractNumId w:val="13"/>
  </w:num>
  <w:num w:numId="12">
    <w:abstractNumId w:val="8"/>
  </w:num>
  <w:num w:numId="13">
    <w:abstractNumId w:val="12"/>
  </w:num>
  <w:num w:numId="14">
    <w:abstractNumId w:val="11"/>
  </w:num>
  <w:num w:numId="15">
    <w:abstractNumId w:val="29"/>
  </w:num>
  <w:num w:numId="16">
    <w:abstractNumId w:val="0"/>
  </w:num>
  <w:num w:numId="17">
    <w:abstractNumId w:val="24"/>
  </w:num>
  <w:num w:numId="18">
    <w:abstractNumId w:val="5"/>
  </w:num>
  <w:num w:numId="19">
    <w:abstractNumId w:val="39"/>
  </w:num>
  <w:num w:numId="20">
    <w:abstractNumId w:val="4"/>
  </w:num>
  <w:num w:numId="21">
    <w:abstractNumId w:val="23"/>
  </w:num>
  <w:num w:numId="22">
    <w:abstractNumId w:val="33"/>
  </w:num>
  <w:num w:numId="23">
    <w:abstractNumId w:val="27"/>
  </w:num>
  <w:num w:numId="24">
    <w:abstractNumId w:val="15"/>
  </w:num>
  <w:num w:numId="25">
    <w:abstractNumId w:val="25"/>
  </w:num>
  <w:num w:numId="26">
    <w:abstractNumId w:val="7"/>
  </w:num>
  <w:num w:numId="27">
    <w:abstractNumId w:val="16"/>
  </w:num>
  <w:num w:numId="28">
    <w:abstractNumId w:val="20"/>
  </w:num>
  <w:num w:numId="29">
    <w:abstractNumId w:val="38"/>
  </w:num>
  <w:num w:numId="30">
    <w:abstractNumId w:val="34"/>
  </w:num>
  <w:num w:numId="31">
    <w:abstractNumId w:val="9"/>
  </w:num>
  <w:num w:numId="32">
    <w:abstractNumId w:val="10"/>
  </w:num>
  <w:num w:numId="33">
    <w:abstractNumId w:val="6"/>
  </w:num>
  <w:num w:numId="34">
    <w:abstractNumId w:val="22"/>
  </w:num>
  <w:num w:numId="35">
    <w:abstractNumId w:val="21"/>
  </w:num>
  <w:num w:numId="36">
    <w:abstractNumId w:val="28"/>
  </w:num>
  <w:num w:numId="37">
    <w:abstractNumId w:val="32"/>
  </w:num>
  <w:num w:numId="38">
    <w:abstractNumId w:val="36"/>
  </w:num>
  <w:num w:numId="39">
    <w:abstractNumId w:val="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7D"/>
    <w:rsid w:val="0000012B"/>
    <w:rsid w:val="0000127A"/>
    <w:rsid w:val="000027EB"/>
    <w:rsid w:val="00002BBB"/>
    <w:rsid w:val="00002E72"/>
    <w:rsid w:val="000034C7"/>
    <w:rsid w:val="000036F7"/>
    <w:rsid w:val="00003B88"/>
    <w:rsid w:val="00003CD0"/>
    <w:rsid w:val="00004817"/>
    <w:rsid w:val="0000483F"/>
    <w:rsid w:val="00004D24"/>
    <w:rsid w:val="0000511D"/>
    <w:rsid w:val="00005DB2"/>
    <w:rsid w:val="00006ABC"/>
    <w:rsid w:val="00007111"/>
    <w:rsid w:val="00007621"/>
    <w:rsid w:val="000108AD"/>
    <w:rsid w:val="00010AE2"/>
    <w:rsid w:val="00011125"/>
    <w:rsid w:val="000111DB"/>
    <w:rsid w:val="0001170D"/>
    <w:rsid w:val="00011A87"/>
    <w:rsid w:val="00012181"/>
    <w:rsid w:val="000128B9"/>
    <w:rsid w:val="00012DDE"/>
    <w:rsid w:val="000130A4"/>
    <w:rsid w:val="000132C3"/>
    <w:rsid w:val="000133AF"/>
    <w:rsid w:val="0001439A"/>
    <w:rsid w:val="00014536"/>
    <w:rsid w:val="000151BB"/>
    <w:rsid w:val="00015C17"/>
    <w:rsid w:val="0001668C"/>
    <w:rsid w:val="0001681B"/>
    <w:rsid w:val="000171DC"/>
    <w:rsid w:val="00017BE1"/>
    <w:rsid w:val="0002066E"/>
    <w:rsid w:val="00021193"/>
    <w:rsid w:val="00023039"/>
    <w:rsid w:val="00023942"/>
    <w:rsid w:val="0002399B"/>
    <w:rsid w:val="00023B12"/>
    <w:rsid w:val="00023D63"/>
    <w:rsid w:val="0002497D"/>
    <w:rsid w:val="00024BA6"/>
    <w:rsid w:val="000252A9"/>
    <w:rsid w:val="00025975"/>
    <w:rsid w:val="00025A91"/>
    <w:rsid w:val="00025D45"/>
    <w:rsid w:val="00026822"/>
    <w:rsid w:val="00026E93"/>
    <w:rsid w:val="0002725C"/>
    <w:rsid w:val="000272CD"/>
    <w:rsid w:val="00027CD0"/>
    <w:rsid w:val="000304A5"/>
    <w:rsid w:val="000313C0"/>
    <w:rsid w:val="000313F2"/>
    <w:rsid w:val="000314F7"/>
    <w:rsid w:val="0003182B"/>
    <w:rsid w:val="00032567"/>
    <w:rsid w:val="000334DD"/>
    <w:rsid w:val="00033F6F"/>
    <w:rsid w:val="00034F7A"/>
    <w:rsid w:val="0003553E"/>
    <w:rsid w:val="0003679E"/>
    <w:rsid w:val="000368DF"/>
    <w:rsid w:val="000403C0"/>
    <w:rsid w:val="000409E1"/>
    <w:rsid w:val="00041350"/>
    <w:rsid w:val="00041F1C"/>
    <w:rsid w:val="00042F89"/>
    <w:rsid w:val="00044635"/>
    <w:rsid w:val="00044C49"/>
    <w:rsid w:val="00045A17"/>
    <w:rsid w:val="00045A3B"/>
    <w:rsid w:val="00046A60"/>
    <w:rsid w:val="00046CF5"/>
    <w:rsid w:val="0004755A"/>
    <w:rsid w:val="00047D44"/>
    <w:rsid w:val="00047DD0"/>
    <w:rsid w:val="000504C7"/>
    <w:rsid w:val="00050CD9"/>
    <w:rsid w:val="00050D8D"/>
    <w:rsid w:val="0005156A"/>
    <w:rsid w:val="0005159B"/>
    <w:rsid w:val="000519DE"/>
    <w:rsid w:val="0005238F"/>
    <w:rsid w:val="000530F7"/>
    <w:rsid w:val="000535A0"/>
    <w:rsid w:val="00053AD9"/>
    <w:rsid w:val="00053CA3"/>
    <w:rsid w:val="000544C8"/>
    <w:rsid w:val="000547CA"/>
    <w:rsid w:val="00054BBB"/>
    <w:rsid w:val="000550EA"/>
    <w:rsid w:val="00055395"/>
    <w:rsid w:val="0005608F"/>
    <w:rsid w:val="00056F77"/>
    <w:rsid w:val="000574E5"/>
    <w:rsid w:val="00057F8C"/>
    <w:rsid w:val="00060F7E"/>
    <w:rsid w:val="00061EC2"/>
    <w:rsid w:val="00061ECB"/>
    <w:rsid w:val="00061F4C"/>
    <w:rsid w:val="000626B4"/>
    <w:rsid w:val="0006338A"/>
    <w:rsid w:val="000633E0"/>
    <w:rsid w:val="00063B1C"/>
    <w:rsid w:val="000640FF"/>
    <w:rsid w:val="00065FC3"/>
    <w:rsid w:val="0006627A"/>
    <w:rsid w:val="0006690D"/>
    <w:rsid w:val="00066F6F"/>
    <w:rsid w:val="00067181"/>
    <w:rsid w:val="000679DF"/>
    <w:rsid w:val="00070C9B"/>
    <w:rsid w:val="0007238A"/>
    <w:rsid w:val="00072444"/>
    <w:rsid w:val="00073117"/>
    <w:rsid w:val="0007376B"/>
    <w:rsid w:val="00074120"/>
    <w:rsid w:val="000742D8"/>
    <w:rsid w:val="00074D58"/>
    <w:rsid w:val="00074D77"/>
    <w:rsid w:val="0007509D"/>
    <w:rsid w:val="000750C1"/>
    <w:rsid w:val="000755B6"/>
    <w:rsid w:val="00075978"/>
    <w:rsid w:val="00075D25"/>
    <w:rsid w:val="000761E5"/>
    <w:rsid w:val="00076484"/>
    <w:rsid w:val="00076549"/>
    <w:rsid w:val="0007670D"/>
    <w:rsid w:val="00076BBA"/>
    <w:rsid w:val="00077764"/>
    <w:rsid w:val="00077DE3"/>
    <w:rsid w:val="00081259"/>
    <w:rsid w:val="00081D6C"/>
    <w:rsid w:val="00081F5C"/>
    <w:rsid w:val="000826B8"/>
    <w:rsid w:val="00083008"/>
    <w:rsid w:val="00083357"/>
    <w:rsid w:val="00083601"/>
    <w:rsid w:val="00084126"/>
    <w:rsid w:val="0008496B"/>
    <w:rsid w:val="00087EC1"/>
    <w:rsid w:val="00090AEA"/>
    <w:rsid w:val="00090C6A"/>
    <w:rsid w:val="00090D86"/>
    <w:rsid w:val="00091158"/>
    <w:rsid w:val="00091667"/>
    <w:rsid w:val="00091FD6"/>
    <w:rsid w:val="00092366"/>
    <w:rsid w:val="00092854"/>
    <w:rsid w:val="00092C0E"/>
    <w:rsid w:val="000945DB"/>
    <w:rsid w:val="000947DB"/>
    <w:rsid w:val="00095B25"/>
    <w:rsid w:val="00095E38"/>
    <w:rsid w:val="0009639F"/>
    <w:rsid w:val="00096704"/>
    <w:rsid w:val="000976DD"/>
    <w:rsid w:val="00097903"/>
    <w:rsid w:val="00097C37"/>
    <w:rsid w:val="000A0ADA"/>
    <w:rsid w:val="000A1F0B"/>
    <w:rsid w:val="000A1FAD"/>
    <w:rsid w:val="000A2F81"/>
    <w:rsid w:val="000A3020"/>
    <w:rsid w:val="000A3DE8"/>
    <w:rsid w:val="000A468B"/>
    <w:rsid w:val="000A585A"/>
    <w:rsid w:val="000A606A"/>
    <w:rsid w:val="000A6540"/>
    <w:rsid w:val="000A6AEC"/>
    <w:rsid w:val="000A75DE"/>
    <w:rsid w:val="000A76F8"/>
    <w:rsid w:val="000A786B"/>
    <w:rsid w:val="000A7EEC"/>
    <w:rsid w:val="000B0A79"/>
    <w:rsid w:val="000B1B7C"/>
    <w:rsid w:val="000B1DEF"/>
    <w:rsid w:val="000B1EED"/>
    <w:rsid w:val="000B2B2F"/>
    <w:rsid w:val="000B36AB"/>
    <w:rsid w:val="000B3AD2"/>
    <w:rsid w:val="000B491D"/>
    <w:rsid w:val="000B49D4"/>
    <w:rsid w:val="000B4B22"/>
    <w:rsid w:val="000B4D14"/>
    <w:rsid w:val="000B56F7"/>
    <w:rsid w:val="000B65BC"/>
    <w:rsid w:val="000B720A"/>
    <w:rsid w:val="000C0D9C"/>
    <w:rsid w:val="000C13CD"/>
    <w:rsid w:val="000C2826"/>
    <w:rsid w:val="000C2E76"/>
    <w:rsid w:val="000C349E"/>
    <w:rsid w:val="000C3BEF"/>
    <w:rsid w:val="000C3E68"/>
    <w:rsid w:val="000C570D"/>
    <w:rsid w:val="000C5B4F"/>
    <w:rsid w:val="000C6935"/>
    <w:rsid w:val="000C6D18"/>
    <w:rsid w:val="000C7704"/>
    <w:rsid w:val="000D0059"/>
    <w:rsid w:val="000D0454"/>
    <w:rsid w:val="000D0509"/>
    <w:rsid w:val="000D17F3"/>
    <w:rsid w:val="000D1B11"/>
    <w:rsid w:val="000D1CDD"/>
    <w:rsid w:val="000D2351"/>
    <w:rsid w:val="000D281C"/>
    <w:rsid w:val="000D28B5"/>
    <w:rsid w:val="000D45CC"/>
    <w:rsid w:val="000D5583"/>
    <w:rsid w:val="000D586C"/>
    <w:rsid w:val="000D66B5"/>
    <w:rsid w:val="000D699F"/>
    <w:rsid w:val="000D7221"/>
    <w:rsid w:val="000E00AB"/>
    <w:rsid w:val="000E0927"/>
    <w:rsid w:val="000E2082"/>
    <w:rsid w:val="000E2606"/>
    <w:rsid w:val="000E31C3"/>
    <w:rsid w:val="000E4703"/>
    <w:rsid w:val="000E4992"/>
    <w:rsid w:val="000E4A3E"/>
    <w:rsid w:val="000E59AF"/>
    <w:rsid w:val="000E5CB0"/>
    <w:rsid w:val="000E71F6"/>
    <w:rsid w:val="000E737F"/>
    <w:rsid w:val="000E78B9"/>
    <w:rsid w:val="000E7C75"/>
    <w:rsid w:val="000E7EAA"/>
    <w:rsid w:val="000F0B7C"/>
    <w:rsid w:val="000F1C5C"/>
    <w:rsid w:val="000F23FC"/>
    <w:rsid w:val="000F29D9"/>
    <w:rsid w:val="000F31F4"/>
    <w:rsid w:val="000F3365"/>
    <w:rsid w:val="000F44C3"/>
    <w:rsid w:val="000F59F4"/>
    <w:rsid w:val="000F5A1F"/>
    <w:rsid w:val="000F5C59"/>
    <w:rsid w:val="000F5DCB"/>
    <w:rsid w:val="000F689C"/>
    <w:rsid w:val="000F6B01"/>
    <w:rsid w:val="000F6B1E"/>
    <w:rsid w:val="000F73C3"/>
    <w:rsid w:val="000F77BF"/>
    <w:rsid w:val="000F7F1D"/>
    <w:rsid w:val="00100AEA"/>
    <w:rsid w:val="00100D39"/>
    <w:rsid w:val="001010DF"/>
    <w:rsid w:val="001019F9"/>
    <w:rsid w:val="00102E98"/>
    <w:rsid w:val="001036A4"/>
    <w:rsid w:val="001037BB"/>
    <w:rsid w:val="001042AA"/>
    <w:rsid w:val="00105D3A"/>
    <w:rsid w:val="00106871"/>
    <w:rsid w:val="001076DF"/>
    <w:rsid w:val="00107F43"/>
    <w:rsid w:val="00110DEB"/>
    <w:rsid w:val="00112043"/>
    <w:rsid w:val="00112131"/>
    <w:rsid w:val="0011227E"/>
    <w:rsid w:val="00112D09"/>
    <w:rsid w:val="00112FF8"/>
    <w:rsid w:val="00114706"/>
    <w:rsid w:val="001152ED"/>
    <w:rsid w:val="001153FD"/>
    <w:rsid w:val="00115C1F"/>
    <w:rsid w:val="00115D7D"/>
    <w:rsid w:val="00116285"/>
    <w:rsid w:val="0011642B"/>
    <w:rsid w:val="001172E1"/>
    <w:rsid w:val="0011732E"/>
    <w:rsid w:val="00117341"/>
    <w:rsid w:val="00117463"/>
    <w:rsid w:val="001228DD"/>
    <w:rsid w:val="00122B6C"/>
    <w:rsid w:val="00122CC6"/>
    <w:rsid w:val="00122EDA"/>
    <w:rsid w:val="00123E53"/>
    <w:rsid w:val="00124465"/>
    <w:rsid w:val="0012513E"/>
    <w:rsid w:val="00125365"/>
    <w:rsid w:val="00125DC9"/>
    <w:rsid w:val="00126051"/>
    <w:rsid w:val="00126740"/>
    <w:rsid w:val="00126FF7"/>
    <w:rsid w:val="0012744F"/>
    <w:rsid w:val="00127AD7"/>
    <w:rsid w:val="001302CC"/>
    <w:rsid w:val="00130C91"/>
    <w:rsid w:val="00130F55"/>
    <w:rsid w:val="001325A1"/>
    <w:rsid w:val="00132AB9"/>
    <w:rsid w:val="00132CC5"/>
    <w:rsid w:val="00132E83"/>
    <w:rsid w:val="0013302A"/>
    <w:rsid w:val="001347C7"/>
    <w:rsid w:val="00135BC2"/>
    <w:rsid w:val="0013628E"/>
    <w:rsid w:val="00136769"/>
    <w:rsid w:val="0013689A"/>
    <w:rsid w:val="00137108"/>
    <w:rsid w:val="0013723B"/>
    <w:rsid w:val="00137B46"/>
    <w:rsid w:val="001402CC"/>
    <w:rsid w:val="00141C8A"/>
    <w:rsid w:val="00141FD0"/>
    <w:rsid w:val="00142774"/>
    <w:rsid w:val="00143560"/>
    <w:rsid w:val="001437B0"/>
    <w:rsid w:val="00144848"/>
    <w:rsid w:val="00145415"/>
    <w:rsid w:val="001454F7"/>
    <w:rsid w:val="0014610B"/>
    <w:rsid w:val="00147CD1"/>
    <w:rsid w:val="0015035B"/>
    <w:rsid w:val="00150A35"/>
    <w:rsid w:val="00150B24"/>
    <w:rsid w:val="00150D0A"/>
    <w:rsid w:val="00150E70"/>
    <w:rsid w:val="00151307"/>
    <w:rsid w:val="00151890"/>
    <w:rsid w:val="00151A2E"/>
    <w:rsid w:val="00151D37"/>
    <w:rsid w:val="001529B7"/>
    <w:rsid w:val="00152B54"/>
    <w:rsid w:val="00152C63"/>
    <w:rsid w:val="00152C7F"/>
    <w:rsid w:val="00153273"/>
    <w:rsid w:val="001543BA"/>
    <w:rsid w:val="001546D8"/>
    <w:rsid w:val="00154AB8"/>
    <w:rsid w:val="00154B71"/>
    <w:rsid w:val="00154F3F"/>
    <w:rsid w:val="00155C6E"/>
    <w:rsid w:val="001569B3"/>
    <w:rsid w:val="0015730D"/>
    <w:rsid w:val="001601A4"/>
    <w:rsid w:val="0016026C"/>
    <w:rsid w:val="001606F1"/>
    <w:rsid w:val="001607B8"/>
    <w:rsid w:val="00161261"/>
    <w:rsid w:val="00161A28"/>
    <w:rsid w:val="001628EC"/>
    <w:rsid w:val="0016303F"/>
    <w:rsid w:val="00163748"/>
    <w:rsid w:val="00164652"/>
    <w:rsid w:val="001652CF"/>
    <w:rsid w:val="0016597F"/>
    <w:rsid w:val="00165BC0"/>
    <w:rsid w:val="001667EF"/>
    <w:rsid w:val="001676E8"/>
    <w:rsid w:val="00167E77"/>
    <w:rsid w:val="00170884"/>
    <w:rsid w:val="00171586"/>
    <w:rsid w:val="001723CA"/>
    <w:rsid w:val="001729DB"/>
    <w:rsid w:val="00173592"/>
    <w:rsid w:val="00174354"/>
    <w:rsid w:val="0017488C"/>
    <w:rsid w:val="00174A9C"/>
    <w:rsid w:val="0017556D"/>
    <w:rsid w:val="001755EE"/>
    <w:rsid w:val="00175A5C"/>
    <w:rsid w:val="001767FC"/>
    <w:rsid w:val="00177759"/>
    <w:rsid w:val="00177C24"/>
    <w:rsid w:val="00177CBD"/>
    <w:rsid w:val="00180E06"/>
    <w:rsid w:val="001813BE"/>
    <w:rsid w:val="001815D8"/>
    <w:rsid w:val="001819DA"/>
    <w:rsid w:val="00181F80"/>
    <w:rsid w:val="001821A4"/>
    <w:rsid w:val="00182DB3"/>
    <w:rsid w:val="00183938"/>
    <w:rsid w:val="00183A80"/>
    <w:rsid w:val="00183D51"/>
    <w:rsid w:val="00184066"/>
    <w:rsid w:val="00184685"/>
    <w:rsid w:val="00184ACD"/>
    <w:rsid w:val="001853D2"/>
    <w:rsid w:val="00185877"/>
    <w:rsid w:val="00185AAB"/>
    <w:rsid w:val="001863F9"/>
    <w:rsid w:val="001863FB"/>
    <w:rsid w:val="00186CC0"/>
    <w:rsid w:val="0018750A"/>
    <w:rsid w:val="0018782A"/>
    <w:rsid w:val="001901C1"/>
    <w:rsid w:val="001906E4"/>
    <w:rsid w:val="001907CA"/>
    <w:rsid w:val="001914B1"/>
    <w:rsid w:val="00191ADE"/>
    <w:rsid w:val="00193267"/>
    <w:rsid w:val="00193790"/>
    <w:rsid w:val="001940EA"/>
    <w:rsid w:val="0019449D"/>
    <w:rsid w:val="001949AA"/>
    <w:rsid w:val="00194D80"/>
    <w:rsid w:val="00195718"/>
    <w:rsid w:val="001963B7"/>
    <w:rsid w:val="00196AD4"/>
    <w:rsid w:val="0019766C"/>
    <w:rsid w:val="001A03D9"/>
    <w:rsid w:val="001A04DD"/>
    <w:rsid w:val="001A0C7D"/>
    <w:rsid w:val="001A0E04"/>
    <w:rsid w:val="001A1DDD"/>
    <w:rsid w:val="001A21B7"/>
    <w:rsid w:val="001A3197"/>
    <w:rsid w:val="001A4FBB"/>
    <w:rsid w:val="001A55EF"/>
    <w:rsid w:val="001A6E1F"/>
    <w:rsid w:val="001A73B7"/>
    <w:rsid w:val="001A73F3"/>
    <w:rsid w:val="001A74FB"/>
    <w:rsid w:val="001B03AA"/>
    <w:rsid w:val="001B1643"/>
    <w:rsid w:val="001B182E"/>
    <w:rsid w:val="001B1DA8"/>
    <w:rsid w:val="001B2198"/>
    <w:rsid w:val="001B21FD"/>
    <w:rsid w:val="001B35FA"/>
    <w:rsid w:val="001B380B"/>
    <w:rsid w:val="001B3913"/>
    <w:rsid w:val="001B3F88"/>
    <w:rsid w:val="001B470B"/>
    <w:rsid w:val="001B4DA4"/>
    <w:rsid w:val="001B553C"/>
    <w:rsid w:val="001B59C7"/>
    <w:rsid w:val="001B76E8"/>
    <w:rsid w:val="001C0472"/>
    <w:rsid w:val="001C0680"/>
    <w:rsid w:val="001C0B71"/>
    <w:rsid w:val="001C1595"/>
    <w:rsid w:val="001C3777"/>
    <w:rsid w:val="001C3E0D"/>
    <w:rsid w:val="001C7173"/>
    <w:rsid w:val="001C75A6"/>
    <w:rsid w:val="001D021F"/>
    <w:rsid w:val="001D035D"/>
    <w:rsid w:val="001D0AB3"/>
    <w:rsid w:val="001D1046"/>
    <w:rsid w:val="001D1DC3"/>
    <w:rsid w:val="001D3C36"/>
    <w:rsid w:val="001D48E8"/>
    <w:rsid w:val="001D55D6"/>
    <w:rsid w:val="001D5B72"/>
    <w:rsid w:val="001D5C90"/>
    <w:rsid w:val="001D5ED3"/>
    <w:rsid w:val="001D5FB8"/>
    <w:rsid w:val="001D64B9"/>
    <w:rsid w:val="001D6665"/>
    <w:rsid w:val="001D6BAE"/>
    <w:rsid w:val="001E1433"/>
    <w:rsid w:val="001E3FE7"/>
    <w:rsid w:val="001E4577"/>
    <w:rsid w:val="001E4FD6"/>
    <w:rsid w:val="001E561D"/>
    <w:rsid w:val="001E72C8"/>
    <w:rsid w:val="001E77F9"/>
    <w:rsid w:val="001F1C92"/>
    <w:rsid w:val="001F34BF"/>
    <w:rsid w:val="001F3F82"/>
    <w:rsid w:val="001F4B64"/>
    <w:rsid w:val="001F5211"/>
    <w:rsid w:val="001F55D8"/>
    <w:rsid w:val="001F57E0"/>
    <w:rsid w:val="001F69A1"/>
    <w:rsid w:val="001F6DDB"/>
    <w:rsid w:val="001F76D4"/>
    <w:rsid w:val="002009DC"/>
    <w:rsid w:val="002011C7"/>
    <w:rsid w:val="00201642"/>
    <w:rsid w:val="00201D1E"/>
    <w:rsid w:val="0020295E"/>
    <w:rsid w:val="00204222"/>
    <w:rsid w:val="00204771"/>
    <w:rsid w:val="002064CD"/>
    <w:rsid w:val="00207088"/>
    <w:rsid w:val="0021052C"/>
    <w:rsid w:val="002105CC"/>
    <w:rsid w:val="00210675"/>
    <w:rsid w:val="00213E82"/>
    <w:rsid w:val="00214009"/>
    <w:rsid w:val="002143A7"/>
    <w:rsid w:val="0021489A"/>
    <w:rsid w:val="00215DD1"/>
    <w:rsid w:val="002203C7"/>
    <w:rsid w:val="00220A13"/>
    <w:rsid w:val="0022120F"/>
    <w:rsid w:val="00221BC1"/>
    <w:rsid w:val="00222394"/>
    <w:rsid w:val="00222612"/>
    <w:rsid w:val="002227DF"/>
    <w:rsid w:val="002236B4"/>
    <w:rsid w:val="002248C9"/>
    <w:rsid w:val="00224DAA"/>
    <w:rsid w:val="002253B9"/>
    <w:rsid w:val="002253CD"/>
    <w:rsid w:val="002256CB"/>
    <w:rsid w:val="00226263"/>
    <w:rsid w:val="00226F48"/>
    <w:rsid w:val="002300AC"/>
    <w:rsid w:val="00230199"/>
    <w:rsid w:val="002305A3"/>
    <w:rsid w:val="002307F2"/>
    <w:rsid w:val="0023143D"/>
    <w:rsid w:val="0023156F"/>
    <w:rsid w:val="00232009"/>
    <w:rsid w:val="00232D67"/>
    <w:rsid w:val="002331B2"/>
    <w:rsid w:val="002332B7"/>
    <w:rsid w:val="002336B7"/>
    <w:rsid w:val="00234010"/>
    <w:rsid w:val="00234292"/>
    <w:rsid w:val="00234A7B"/>
    <w:rsid w:val="00235286"/>
    <w:rsid w:val="0023581B"/>
    <w:rsid w:val="00236307"/>
    <w:rsid w:val="00236918"/>
    <w:rsid w:val="00236980"/>
    <w:rsid w:val="00236BDB"/>
    <w:rsid w:val="00236D75"/>
    <w:rsid w:val="00236EEF"/>
    <w:rsid w:val="00236FEA"/>
    <w:rsid w:val="00237031"/>
    <w:rsid w:val="00237D1A"/>
    <w:rsid w:val="00240836"/>
    <w:rsid w:val="0024185F"/>
    <w:rsid w:val="00242A48"/>
    <w:rsid w:val="00242E69"/>
    <w:rsid w:val="00242FD8"/>
    <w:rsid w:val="0024348A"/>
    <w:rsid w:val="002437B8"/>
    <w:rsid w:val="002439EB"/>
    <w:rsid w:val="0024410C"/>
    <w:rsid w:val="00245B10"/>
    <w:rsid w:val="00245F73"/>
    <w:rsid w:val="00246778"/>
    <w:rsid w:val="00246852"/>
    <w:rsid w:val="00246903"/>
    <w:rsid w:val="00246B48"/>
    <w:rsid w:val="00246F76"/>
    <w:rsid w:val="00247527"/>
    <w:rsid w:val="00247C76"/>
    <w:rsid w:val="002514A7"/>
    <w:rsid w:val="002518DE"/>
    <w:rsid w:val="00251C39"/>
    <w:rsid w:val="00252670"/>
    <w:rsid w:val="00252B6F"/>
    <w:rsid w:val="00252BA3"/>
    <w:rsid w:val="00253534"/>
    <w:rsid w:val="00253C97"/>
    <w:rsid w:val="00253CE8"/>
    <w:rsid w:val="00254040"/>
    <w:rsid w:val="00254435"/>
    <w:rsid w:val="0025572F"/>
    <w:rsid w:val="00255FC1"/>
    <w:rsid w:val="002560EC"/>
    <w:rsid w:val="002565ED"/>
    <w:rsid w:val="0025738C"/>
    <w:rsid w:val="002600E2"/>
    <w:rsid w:val="00260480"/>
    <w:rsid w:val="0026091C"/>
    <w:rsid w:val="00261584"/>
    <w:rsid w:val="0026224C"/>
    <w:rsid w:val="00262335"/>
    <w:rsid w:val="002623DE"/>
    <w:rsid w:val="00263696"/>
    <w:rsid w:val="00265309"/>
    <w:rsid w:val="00265421"/>
    <w:rsid w:val="00265542"/>
    <w:rsid w:val="002664D1"/>
    <w:rsid w:val="00266770"/>
    <w:rsid w:val="00266B4B"/>
    <w:rsid w:val="002712A3"/>
    <w:rsid w:val="00271534"/>
    <w:rsid w:val="0027170B"/>
    <w:rsid w:val="00271CE1"/>
    <w:rsid w:val="00271F29"/>
    <w:rsid w:val="00272931"/>
    <w:rsid w:val="00273128"/>
    <w:rsid w:val="0027361B"/>
    <w:rsid w:val="00273DED"/>
    <w:rsid w:val="002742FB"/>
    <w:rsid w:val="002744C7"/>
    <w:rsid w:val="00276357"/>
    <w:rsid w:val="002765BB"/>
    <w:rsid w:val="002775AC"/>
    <w:rsid w:val="00277E88"/>
    <w:rsid w:val="002809DD"/>
    <w:rsid w:val="00281CEE"/>
    <w:rsid w:val="002821ED"/>
    <w:rsid w:val="0028224B"/>
    <w:rsid w:val="0028292B"/>
    <w:rsid w:val="00282B05"/>
    <w:rsid w:val="00282B8C"/>
    <w:rsid w:val="002838F2"/>
    <w:rsid w:val="002839D7"/>
    <w:rsid w:val="00283D97"/>
    <w:rsid w:val="00284497"/>
    <w:rsid w:val="002852B2"/>
    <w:rsid w:val="00286480"/>
    <w:rsid w:val="002864F5"/>
    <w:rsid w:val="0028660A"/>
    <w:rsid w:val="0028688A"/>
    <w:rsid w:val="0028773D"/>
    <w:rsid w:val="00287DE9"/>
    <w:rsid w:val="00291B64"/>
    <w:rsid w:val="00291D70"/>
    <w:rsid w:val="00291DF7"/>
    <w:rsid w:val="00291DFF"/>
    <w:rsid w:val="002924C0"/>
    <w:rsid w:val="0029303A"/>
    <w:rsid w:val="0029439E"/>
    <w:rsid w:val="00294E23"/>
    <w:rsid w:val="00295827"/>
    <w:rsid w:val="00295D7A"/>
    <w:rsid w:val="00296434"/>
    <w:rsid w:val="00297171"/>
    <w:rsid w:val="002972D9"/>
    <w:rsid w:val="00297484"/>
    <w:rsid w:val="00297D2D"/>
    <w:rsid w:val="002A0F74"/>
    <w:rsid w:val="002A1888"/>
    <w:rsid w:val="002A1F8A"/>
    <w:rsid w:val="002A3532"/>
    <w:rsid w:val="002A35B8"/>
    <w:rsid w:val="002A3C48"/>
    <w:rsid w:val="002A4701"/>
    <w:rsid w:val="002A4E27"/>
    <w:rsid w:val="002A52D9"/>
    <w:rsid w:val="002A6703"/>
    <w:rsid w:val="002A6DAF"/>
    <w:rsid w:val="002A723E"/>
    <w:rsid w:val="002A7493"/>
    <w:rsid w:val="002A77FF"/>
    <w:rsid w:val="002B004C"/>
    <w:rsid w:val="002B1159"/>
    <w:rsid w:val="002B141E"/>
    <w:rsid w:val="002B1AA1"/>
    <w:rsid w:val="002B266F"/>
    <w:rsid w:val="002B2B9A"/>
    <w:rsid w:val="002B2F28"/>
    <w:rsid w:val="002B31B3"/>
    <w:rsid w:val="002B466E"/>
    <w:rsid w:val="002B4E2F"/>
    <w:rsid w:val="002B599F"/>
    <w:rsid w:val="002B6411"/>
    <w:rsid w:val="002B747F"/>
    <w:rsid w:val="002B7A4B"/>
    <w:rsid w:val="002B7AC3"/>
    <w:rsid w:val="002C03F0"/>
    <w:rsid w:val="002C071B"/>
    <w:rsid w:val="002C0B3B"/>
    <w:rsid w:val="002C1093"/>
    <w:rsid w:val="002C10CC"/>
    <w:rsid w:val="002C113A"/>
    <w:rsid w:val="002C2AF5"/>
    <w:rsid w:val="002C3D34"/>
    <w:rsid w:val="002C43E1"/>
    <w:rsid w:val="002C4E84"/>
    <w:rsid w:val="002C5091"/>
    <w:rsid w:val="002C51AF"/>
    <w:rsid w:val="002C52C0"/>
    <w:rsid w:val="002C5934"/>
    <w:rsid w:val="002C5966"/>
    <w:rsid w:val="002C6720"/>
    <w:rsid w:val="002C6895"/>
    <w:rsid w:val="002C6A11"/>
    <w:rsid w:val="002C6A28"/>
    <w:rsid w:val="002C7F4B"/>
    <w:rsid w:val="002D03E7"/>
    <w:rsid w:val="002D1D32"/>
    <w:rsid w:val="002D2DEF"/>
    <w:rsid w:val="002D3780"/>
    <w:rsid w:val="002D451F"/>
    <w:rsid w:val="002D5923"/>
    <w:rsid w:val="002D5A49"/>
    <w:rsid w:val="002D5E30"/>
    <w:rsid w:val="002D6DB8"/>
    <w:rsid w:val="002D6E2B"/>
    <w:rsid w:val="002D7CB8"/>
    <w:rsid w:val="002D7FF8"/>
    <w:rsid w:val="002E003F"/>
    <w:rsid w:val="002E0236"/>
    <w:rsid w:val="002E050B"/>
    <w:rsid w:val="002E0CCB"/>
    <w:rsid w:val="002E0DAA"/>
    <w:rsid w:val="002E121F"/>
    <w:rsid w:val="002E1CA3"/>
    <w:rsid w:val="002E2168"/>
    <w:rsid w:val="002E2C09"/>
    <w:rsid w:val="002E37A4"/>
    <w:rsid w:val="002E5707"/>
    <w:rsid w:val="002E5BC1"/>
    <w:rsid w:val="002E5F64"/>
    <w:rsid w:val="002E633C"/>
    <w:rsid w:val="002E6977"/>
    <w:rsid w:val="002E6C40"/>
    <w:rsid w:val="002E6E1E"/>
    <w:rsid w:val="002E6E34"/>
    <w:rsid w:val="002E710C"/>
    <w:rsid w:val="002E7C44"/>
    <w:rsid w:val="002F0C9B"/>
    <w:rsid w:val="002F213F"/>
    <w:rsid w:val="002F2808"/>
    <w:rsid w:val="002F304E"/>
    <w:rsid w:val="002F37AD"/>
    <w:rsid w:val="002F4B34"/>
    <w:rsid w:val="002F500B"/>
    <w:rsid w:val="002F5EF7"/>
    <w:rsid w:val="002F6248"/>
    <w:rsid w:val="002F6829"/>
    <w:rsid w:val="002F68AA"/>
    <w:rsid w:val="002F6D45"/>
    <w:rsid w:val="002F751B"/>
    <w:rsid w:val="002F78E6"/>
    <w:rsid w:val="002F7AF0"/>
    <w:rsid w:val="002F7B4F"/>
    <w:rsid w:val="00300235"/>
    <w:rsid w:val="00300F73"/>
    <w:rsid w:val="00302882"/>
    <w:rsid w:val="003037A3"/>
    <w:rsid w:val="00303D03"/>
    <w:rsid w:val="00304851"/>
    <w:rsid w:val="0030686B"/>
    <w:rsid w:val="00306A51"/>
    <w:rsid w:val="00306F5B"/>
    <w:rsid w:val="0030746B"/>
    <w:rsid w:val="00310C16"/>
    <w:rsid w:val="00311164"/>
    <w:rsid w:val="00311A83"/>
    <w:rsid w:val="0031264E"/>
    <w:rsid w:val="00312F7A"/>
    <w:rsid w:val="00313DB7"/>
    <w:rsid w:val="00313E8B"/>
    <w:rsid w:val="00314306"/>
    <w:rsid w:val="0031437A"/>
    <w:rsid w:val="00314D37"/>
    <w:rsid w:val="0031524D"/>
    <w:rsid w:val="003154E0"/>
    <w:rsid w:val="00315A53"/>
    <w:rsid w:val="00316555"/>
    <w:rsid w:val="00317094"/>
    <w:rsid w:val="003175AC"/>
    <w:rsid w:val="003177F6"/>
    <w:rsid w:val="003202D8"/>
    <w:rsid w:val="00320C47"/>
    <w:rsid w:val="00321D63"/>
    <w:rsid w:val="00321FC5"/>
    <w:rsid w:val="00322936"/>
    <w:rsid w:val="00322ECB"/>
    <w:rsid w:val="003240BB"/>
    <w:rsid w:val="003253C8"/>
    <w:rsid w:val="0032541C"/>
    <w:rsid w:val="0033003C"/>
    <w:rsid w:val="00330489"/>
    <w:rsid w:val="0033071E"/>
    <w:rsid w:val="00330A7D"/>
    <w:rsid w:val="00330E32"/>
    <w:rsid w:val="00331095"/>
    <w:rsid w:val="003321BF"/>
    <w:rsid w:val="00332740"/>
    <w:rsid w:val="00332C73"/>
    <w:rsid w:val="003330DB"/>
    <w:rsid w:val="00333520"/>
    <w:rsid w:val="00333651"/>
    <w:rsid w:val="00333ABD"/>
    <w:rsid w:val="0033473F"/>
    <w:rsid w:val="003347E1"/>
    <w:rsid w:val="00334A6C"/>
    <w:rsid w:val="0033540A"/>
    <w:rsid w:val="00335460"/>
    <w:rsid w:val="0033628D"/>
    <w:rsid w:val="003362BB"/>
    <w:rsid w:val="00336EE6"/>
    <w:rsid w:val="003370FF"/>
    <w:rsid w:val="0033759F"/>
    <w:rsid w:val="00337656"/>
    <w:rsid w:val="00337A2F"/>
    <w:rsid w:val="00337A88"/>
    <w:rsid w:val="003415B9"/>
    <w:rsid w:val="00341867"/>
    <w:rsid w:val="0034208C"/>
    <w:rsid w:val="0034214D"/>
    <w:rsid w:val="00342AB6"/>
    <w:rsid w:val="00342B93"/>
    <w:rsid w:val="0034315B"/>
    <w:rsid w:val="00345208"/>
    <w:rsid w:val="00345CEF"/>
    <w:rsid w:val="00345D68"/>
    <w:rsid w:val="00347266"/>
    <w:rsid w:val="003473BF"/>
    <w:rsid w:val="003505FB"/>
    <w:rsid w:val="00350C84"/>
    <w:rsid w:val="00350EE5"/>
    <w:rsid w:val="00352587"/>
    <w:rsid w:val="0035265B"/>
    <w:rsid w:val="003526B5"/>
    <w:rsid w:val="0035321E"/>
    <w:rsid w:val="0035340F"/>
    <w:rsid w:val="00353C14"/>
    <w:rsid w:val="0035424C"/>
    <w:rsid w:val="00354A79"/>
    <w:rsid w:val="00354C3F"/>
    <w:rsid w:val="00355D0F"/>
    <w:rsid w:val="00355E88"/>
    <w:rsid w:val="003565C2"/>
    <w:rsid w:val="00356662"/>
    <w:rsid w:val="00356A28"/>
    <w:rsid w:val="00356BBA"/>
    <w:rsid w:val="00356E89"/>
    <w:rsid w:val="003600B9"/>
    <w:rsid w:val="0036041E"/>
    <w:rsid w:val="00361683"/>
    <w:rsid w:val="003621CF"/>
    <w:rsid w:val="003628F4"/>
    <w:rsid w:val="00362B7C"/>
    <w:rsid w:val="00364178"/>
    <w:rsid w:val="003641A4"/>
    <w:rsid w:val="003643B6"/>
    <w:rsid w:val="003645FB"/>
    <w:rsid w:val="00364C03"/>
    <w:rsid w:val="00364DBA"/>
    <w:rsid w:val="00364EBB"/>
    <w:rsid w:val="003654DF"/>
    <w:rsid w:val="0036552B"/>
    <w:rsid w:val="00365B2C"/>
    <w:rsid w:val="003662FA"/>
    <w:rsid w:val="0036637C"/>
    <w:rsid w:val="003663D5"/>
    <w:rsid w:val="00370A17"/>
    <w:rsid w:val="00370CB8"/>
    <w:rsid w:val="00371049"/>
    <w:rsid w:val="003711E0"/>
    <w:rsid w:val="00371AA2"/>
    <w:rsid w:val="00372007"/>
    <w:rsid w:val="0037214D"/>
    <w:rsid w:val="00373448"/>
    <w:rsid w:val="003739DE"/>
    <w:rsid w:val="0037456A"/>
    <w:rsid w:val="00374C35"/>
    <w:rsid w:val="00374D33"/>
    <w:rsid w:val="00376BBD"/>
    <w:rsid w:val="003805EE"/>
    <w:rsid w:val="00380C4E"/>
    <w:rsid w:val="00380DBE"/>
    <w:rsid w:val="00382135"/>
    <w:rsid w:val="0038256D"/>
    <w:rsid w:val="00382574"/>
    <w:rsid w:val="00382D5C"/>
    <w:rsid w:val="00383F50"/>
    <w:rsid w:val="00383FD7"/>
    <w:rsid w:val="00384511"/>
    <w:rsid w:val="003848EC"/>
    <w:rsid w:val="003851C0"/>
    <w:rsid w:val="003852B3"/>
    <w:rsid w:val="003866CC"/>
    <w:rsid w:val="00387AFC"/>
    <w:rsid w:val="003904FA"/>
    <w:rsid w:val="00390611"/>
    <w:rsid w:val="00390C86"/>
    <w:rsid w:val="00391034"/>
    <w:rsid w:val="003910FC"/>
    <w:rsid w:val="0039242B"/>
    <w:rsid w:val="00392DD2"/>
    <w:rsid w:val="00393173"/>
    <w:rsid w:val="00393C68"/>
    <w:rsid w:val="00394894"/>
    <w:rsid w:val="00394C21"/>
    <w:rsid w:val="00394E06"/>
    <w:rsid w:val="003951D6"/>
    <w:rsid w:val="00395722"/>
    <w:rsid w:val="00395AE0"/>
    <w:rsid w:val="00396489"/>
    <w:rsid w:val="00396BC9"/>
    <w:rsid w:val="00396CBE"/>
    <w:rsid w:val="0039754E"/>
    <w:rsid w:val="0039790D"/>
    <w:rsid w:val="003A1222"/>
    <w:rsid w:val="003A21EC"/>
    <w:rsid w:val="003A2792"/>
    <w:rsid w:val="003A2DDA"/>
    <w:rsid w:val="003A3123"/>
    <w:rsid w:val="003A3CA4"/>
    <w:rsid w:val="003A5183"/>
    <w:rsid w:val="003A5216"/>
    <w:rsid w:val="003A56DB"/>
    <w:rsid w:val="003A6207"/>
    <w:rsid w:val="003A661B"/>
    <w:rsid w:val="003A7A33"/>
    <w:rsid w:val="003B0CB1"/>
    <w:rsid w:val="003B0F75"/>
    <w:rsid w:val="003B1A2E"/>
    <w:rsid w:val="003B335A"/>
    <w:rsid w:val="003B477E"/>
    <w:rsid w:val="003B5097"/>
    <w:rsid w:val="003B56A3"/>
    <w:rsid w:val="003B666A"/>
    <w:rsid w:val="003B7A95"/>
    <w:rsid w:val="003C02E5"/>
    <w:rsid w:val="003C1206"/>
    <w:rsid w:val="003C182C"/>
    <w:rsid w:val="003C2137"/>
    <w:rsid w:val="003C2CEC"/>
    <w:rsid w:val="003C3291"/>
    <w:rsid w:val="003C42D4"/>
    <w:rsid w:val="003C4A93"/>
    <w:rsid w:val="003C675E"/>
    <w:rsid w:val="003C6973"/>
    <w:rsid w:val="003C6AED"/>
    <w:rsid w:val="003D0371"/>
    <w:rsid w:val="003D09AE"/>
    <w:rsid w:val="003D0A3B"/>
    <w:rsid w:val="003D1563"/>
    <w:rsid w:val="003D26F8"/>
    <w:rsid w:val="003D2A47"/>
    <w:rsid w:val="003D4815"/>
    <w:rsid w:val="003D57F4"/>
    <w:rsid w:val="003D5881"/>
    <w:rsid w:val="003D62EC"/>
    <w:rsid w:val="003D68DB"/>
    <w:rsid w:val="003D6FAB"/>
    <w:rsid w:val="003D7070"/>
    <w:rsid w:val="003D770E"/>
    <w:rsid w:val="003D7883"/>
    <w:rsid w:val="003D78FB"/>
    <w:rsid w:val="003D7A53"/>
    <w:rsid w:val="003D7ADE"/>
    <w:rsid w:val="003D7E94"/>
    <w:rsid w:val="003E0374"/>
    <w:rsid w:val="003E07D9"/>
    <w:rsid w:val="003E0FEC"/>
    <w:rsid w:val="003E11F5"/>
    <w:rsid w:val="003E15C3"/>
    <w:rsid w:val="003E1747"/>
    <w:rsid w:val="003E1953"/>
    <w:rsid w:val="003E20DC"/>
    <w:rsid w:val="003E2B60"/>
    <w:rsid w:val="003E3133"/>
    <w:rsid w:val="003E326F"/>
    <w:rsid w:val="003E435F"/>
    <w:rsid w:val="003E4832"/>
    <w:rsid w:val="003E5E21"/>
    <w:rsid w:val="003E6213"/>
    <w:rsid w:val="003E6239"/>
    <w:rsid w:val="003E6240"/>
    <w:rsid w:val="003E73FC"/>
    <w:rsid w:val="003E7675"/>
    <w:rsid w:val="003E7CC4"/>
    <w:rsid w:val="003F0028"/>
    <w:rsid w:val="003F094E"/>
    <w:rsid w:val="003F1115"/>
    <w:rsid w:val="003F1CE3"/>
    <w:rsid w:val="003F21EC"/>
    <w:rsid w:val="003F3C51"/>
    <w:rsid w:val="003F3ED2"/>
    <w:rsid w:val="003F3FE9"/>
    <w:rsid w:val="003F40DB"/>
    <w:rsid w:val="003F470A"/>
    <w:rsid w:val="003F4860"/>
    <w:rsid w:val="003F4880"/>
    <w:rsid w:val="003F66B3"/>
    <w:rsid w:val="003F733E"/>
    <w:rsid w:val="003F7380"/>
    <w:rsid w:val="003F79A5"/>
    <w:rsid w:val="003F7DC7"/>
    <w:rsid w:val="00400912"/>
    <w:rsid w:val="00400DA9"/>
    <w:rsid w:val="004012EA"/>
    <w:rsid w:val="00401402"/>
    <w:rsid w:val="00401A8D"/>
    <w:rsid w:val="00401DB2"/>
    <w:rsid w:val="004039FA"/>
    <w:rsid w:val="00404B90"/>
    <w:rsid w:val="00406FAC"/>
    <w:rsid w:val="00407534"/>
    <w:rsid w:val="00410170"/>
    <w:rsid w:val="004101F4"/>
    <w:rsid w:val="004112C5"/>
    <w:rsid w:val="004114A4"/>
    <w:rsid w:val="00412257"/>
    <w:rsid w:val="00412A99"/>
    <w:rsid w:val="00412CE1"/>
    <w:rsid w:val="00413AF4"/>
    <w:rsid w:val="00414457"/>
    <w:rsid w:val="00414BCA"/>
    <w:rsid w:val="004151AB"/>
    <w:rsid w:val="00415544"/>
    <w:rsid w:val="0041582F"/>
    <w:rsid w:val="00416AD3"/>
    <w:rsid w:val="004170C8"/>
    <w:rsid w:val="004173C6"/>
    <w:rsid w:val="00417788"/>
    <w:rsid w:val="00417C02"/>
    <w:rsid w:val="00417EC0"/>
    <w:rsid w:val="00417FF0"/>
    <w:rsid w:val="0042036C"/>
    <w:rsid w:val="00421370"/>
    <w:rsid w:val="0042170E"/>
    <w:rsid w:val="00421810"/>
    <w:rsid w:val="0042186C"/>
    <w:rsid w:val="00422DDF"/>
    <w:rsid w:val="0042359C"/>
    <w:rsid w:val="00423D4D"/>
    <w:rsid w:val="0042529E"/>
    <w:rsid w:val="00426BA2"/>
    <w:rsid w:val="00427D57"/>
    <w:rsid w:val="00430313"/>
    <w:rsid w:val="004303E5"/>
    <w:rsid w:val="00431915"/>
    <w:rsid w:val="00431FFA"/>
    <w:rsid w:val="00432797"/>
    <w:rsid w:val="00432AC1"/>
    <w:rsid w:val="00433386"/>
    <w:rsid w:val="0043360B"/>
    <w:rsid w:val="004344BA"/>
    <w:rsid w:val="0043464E"/>
    <w:rsid w:val="0043485D"/>
    <w:rsid w:val="0043543A"/>
    <w:rsid w:val="004366F1"/>
    <w:rsid w:val="004373E5"/>
    <w:rsid w:val="00437407"/>
    <w:rsid w:val="004402BB"/>
    <w:rsid w:val="0044038F"/>
    <w:rsid w:val="0044078B"/>
    <w:rsid w:val="0044207D"/>
    <w:rsid w:val="00442895"/>
    <w:rsid w:val="00442CCD"/>
    <w:rsid w:val="00442FE5"/>
    <w:rsid w:val="00444EE0"/>
    <w:rsid w:val="00445669"/>
    <w:rsid w:val="004459AD"/>
    <w:rsid w:val="00446241"/>
    <w:rsid w:val="004470B4"/>
    <w:rsid w:val="00447440"/>
    <w:rsid w:val="00447761"/>
    <w:rsid w:val="0045181D"/>
    <w:rsid w:val="004526EE"/>
    <w:rsid w:val="00452C62"/>
    <w:rsid w:val="00452E1B"/>
    <w:rsid w:val="0045360B"/>
    <w:rsid w:val="00454142"/>
    <w:rsid w:val="004548D6"/>
    <w:rsid w:val="0045576E"/>
    <w:rsid w:val="004569EC"/>
    <w:rsid w:val="00456B89"/>
    <w:rsid w:val="004570DB"/>
    <w:rsid w:val="00457716"/>
    <w:rsid w:val="004606B8"/>
    <w:rsid w:val="004621B1"/>
    <w:rsid w:val="00462308"/>
    <w:rsid w:val="0046248A"/>
    <w:rsid w:val="0046298A"/>
    <w:rsid w:val="00462B37"/>
    <w:rsid w:val="004645A2"/>
    <w:rsid w:val="0046497C"/>
    <w:rsid w:val="00464BA1"/>
    <w:rsid w:val="00464D0D"/>
    <w:rsid w:val="00464E05"/>
    <w:rsid w:val="00464FC9"/>
    <w:rsid w:val="004653F8"/>
    <w:rsid w:val="00465659"/>
    <w:rsid w:val="00465B00"/>
    <w:rsid w:val="004672BF"/>
    <w:rsid w:val="00467CBD"/>
    <w:rsid w:val="00467E86"/>
    <w:rsid w:val="0047066D"/>
    <w:rsid w:val="0047073E"/>
    <w:rsid w:val="00470952"/>
    <w:rsid w:val="0047107C"/>
    <w:rsid w:val="0047124A"/>
    <w:rsid w:val="00472330"/>
    <w:rsid w:val="0047260E"/>
    <w:rsid w:val="00473F56"/>
    <w:rsid w:val="004748B3"/>
    <w:rsid w:val="00474945"/>
    <w:rsid w:val="00475B7D"/>
    <w:rsid w:val="004774DE"/>
    <w:rsid w:val="00480853"/>
    <w:rsid w:val="004813FE"/>
    <w:rsid w:val="00481628"/>
    <w:rsid w:val="00481C97"/>
    <w:rsid w:val="004829B3"/>
    <w:rsid w:val="00482A02"/>
    <w:rsid w:val="004844D1"/>
    <w:rsid w:val="004849EC"/>
    <w:rsid w:val="00485213"/>
    <w:rsid w:val="004856A5"/>
    <w:rsid w:val="00485EC6"/>
    <w:rsid w:val="00486556"/>
    <w:rsid w:val="00486927"/>
    <w:rsid w:val="00486A6E"/>
    <w:rsid w:val="0048758F"/>
    <w:rsid w:val="00487FFD"/>
    <w:rsid w:val="004907B8"/>
    <w:rsid w:val="00490F43"/>
    <w:rsid w:val="00491284"/>
    <w:rsid w:val="00492F0C"/>
    <w:rsid w:val="004936D5"/>
    <w:rsid w:val="004937F9"/>
    <w:rsid w:val="004938B1"/>
    <w:rsid w:val="004938C1"/>
    <w:rsid w:val="0049478F"/>
    <w:rsid w:val="00494B6B"/>
    <w:rsid w:val="00495B3A"/>
    <w:rsid w:val="00495B91"/>
    <w:rsid w:val="00495E38"/>
    <w:rsid w:val="00496EB1"/>
    <w:rsid w:val="004A0354"/>
    <w:rsid w:val="004A0569"/>
    <w:rsid w:val="004A2962"/>
    <w:rsid w:val="004A2D15"/>
    <w:rsid w:val="004A435C"/>
    <w:rsid w:val="004A479D"/>
    <w:rsid w:val="004A5028"/>
    <w:rsid w:val="004A64C1"/>
    <w:rsid w:val="004A7A82"/>
    <w:rsid w:val="004B0F3A"/>
    <w:rsid w:val="004B1B00"/>
    <w:rsid w:val="004B5D1D"/>
    <w:rsid w:val="004C0029"/>
    <w:rsid w:val="004C0357"/>
    <w:rsid w:val="004C0C4F"/>
    <w:rsid w:val="004C0E90"/>
    <w:rsid w:val="004C1009"/>
    <w:rsid w:val="004C108F"/>
    <w:rsid w:val="004C2E46"/>
    <w:rsid w:val="004C38CE"/>
    <w:rsid w:val="004C390B"/>
    <w:rsid w:val="004C3928"/>
    <w:rsid w:val="004C434C"/>
    <w:rsid w:val="004C436E"/>
    <w:rsid w:val="004C49EC"/>
    <w:rsid w:val="004C5271"/>
    <w:rsid w:val="004C534D"/>
    <w:rsid w:val="004C5901"/>
    <w:rsid w:val="004C5C23"/>
    <w:rsid w:val="004C5F1D"/>
    <w:rsid w:val="004C7269"/>
    <w:rsid w:val="004C76B6"/>
    <w:rsid w:val="004C78CC"/>
    <w:rsid w:val="004D08A7"/>
    <w:rsid w:val="004D0B0A"/>
    <w:rsid w:val="004D0E85"/>
    <w:rsid w:val="004D123B"/>
    <w:rsid w:val="004D1ABF"/>
    <w:rsid w:val="004D1CDB"/>
    <w:rsid w:val="004D1D90"/>
    <w:rsid w:val="004D1F1B"/>
    <w:rsid w:val="004D2039"/>
    <w:rsid w:val="004D2208"/>
    <w:rsid w:val="004D378E"/>
    <w:rsid w:val="004D3EF3"/>
    <w:rsid w:val="004D5814"/>
    <w:rsid w:val="004D7654"/>
    <w:rsid w:val="004D7911"/>
    <w:rsid w:val="004E11D6"/>
    <w:rsid w:val="004E1E90"/>
    <w:rsid w:val="004E2210"/>
    <w:rsid w:val="004E225D"/>
    <w:rsid w:val="004E2B06"/>
    <w:rsid w:val="004E3126"/>
    <w:rsid w:val="004E3BC4"/>
    <w:rsid w:val="004E465E"/>
    <w:rsid w:val="004E55EF"/>
    <w:rsid w:val="004E69AD"/>
    <w:rsid w:val="004E785F"/>
    <w:rsid w:val="004E7899"/>
    <w:rsid w:val="004E7C9D"/>
    <w:rsid w:val="004F00C5"/>
    <w:rsid w:val="004F0248"/>
    <w:rsid w:val="004F0BDB"/>
    <w:rsid w:val="004F0CE4"/>
    <w:rsid w:val="004F0FEA"/>
    <w:rsid w:val="004F1DF3"/>
    <w:rsid w:val="004F2658"/>
    <w:rsid w:val="004F2C30"/>
    <w:rsid w:val="004F3382"/>
    <w:rsid w:val="004F421F"/>
    <w:rsid w:val="004F4779"/>
    <w:rsid w:val="004F5206"/>
    <w:rsid w:val="004F5738"/>
    <w:rsid w:val="004F5AAA"/>
    <w:rsid w:val="004F6CC2"/>
    <w:rsid w:val="004F7C25"/>
    <w:rsid w:val="005000EA"/>
    <w:rsid w:val="005006EB"/>
    <w:rsid w:val="0050271B"/>
    <w:rsid w:val="005032A5"/>
    <w:rsid w:val="00503489"/>
    <w:rsid w:val="00503BA1"/>
    <w:rsid w:val="0050418A"/>
    <w:rsid w:val="00504394"/>
    <w:rsid w:val="00504634"/>
    <w:rsid w:val="0050509C"/>
    <w:rsid w:val="005056EC"/>
    <w:rsid w:val="00505C1F"/>
    <w:rsid w:val="00506268"/>
    <w:rsid w:val="00506323"/>
    <w:rsid w:val="005069FA"/>
    <w:rsid w:val="00506DF7"/>
    <w:rsid w:val="0050725B"/>
    <w:rsid w:val="00507981"/>
    <w:rsid w:val="00507B4B"/>
    <w:rsid w:val="005108E6"/>
    <w:rsid w:val="00510E91"/>
    <w:rsid w:val="0051144E"/>
    <w:rsid w:val="00511455"/>
    <w:rsid w:val="00511541"/>
    <w:rsid w:val="005115B8"/>
    <w:rsid w:val="00511757"/>
    <w:rsid w:val="005129F9"/>
    <w:rsid w:val="005132E4"/>
    <w:rsid w:val="00513BAD"/>
    <w:rsid w:val="00513CA9"/>
    <w:rsid w:val="005151F2"/>
    <w:rsid w:val="00516996"/>
    <w:rsid w:val="00517054"/>
    <w:rsid w:val="00517F7A"/>
    <w:rsid w:val="00521283"/>
    <w:rsid w:val="005219CE"/>
    <w:rsid w:val="00521BAC"/>
    <w:rsid w:val="0052213E"/>
    <w:rsid w:val="00522290"/>
    <w:rsid w:val="0052303D"/>
    <w:rsid w:val="0052328C"/>
    <w:rsid w:val="005239A4"/>
    <w:rsid w:val="00523F57"/>
    <w:rsid w:val="00523FC2"/>
    <w:rsid w:val="00524A0B"/>
    <w:rsid w:val="0052525D"/>
    <w:rsid w:val="00525BCE"/>
    <w:rsid w:val="00525E51"/>
    <w:rsid w:val="005260AC"/>
    <w:rsid w:val="005262D1"/>
    <w:rsid w:val="00526D6B"/>
    <w:rsid w:val="00527648"/>
    <w:rsid w:val="00530182"/>
    <w:rsid w:val="00530682"/>
    <w:rsid w:val="00531049"/>
    <w:rsid w:val="00532E94"/>
    <w:rsid w:val="005339C4"/>
    <w:rsid w:val="00533C50"/>
    <w:rsid w:val="00533E7F"/>
    <w:rsid w:val="005345C9"/>
    <w:rsid w:val="005348F0"/>
    <w:rsid w:val="005364BE"/>
    <w:rsid w:val="00536686"/>
    <w:rsid w:val="00536693"/>
    <w:rsid w:val="00536BEB"/>
    <w:rsid w:val="0053723E"/>
    <w:rsid w:val="00537F73"/>
    <w:rsid w:val="00540D98"/>
    <w:rsid w:val="00540E6E"/>
    <w:rsid w:val="005410E3"/>
    <w:rsid w:val="00541390"/>
    <w:rsid w:val="005415D0"/>
    <w:rsid w:val="0054193E"/>
    <w:rsid w:val="00542166"/>
    <w:rsid w:val="00544319"/>
    <w:rsid w:val="00544BB9"/>
    <w:rsid w:val="00546A50"/>
    <w:rsid w:val="00546BAA"/>
    <w:rsid w:val="00550012"/>
    <w:rsid w:val="005502F3"/>
    <w:rsid w:val="005503FD"/>
    <w:rsid w:val="00550BE3"/>
    <w:rsid w:val="00551049"/>
    <w:rsid w:val="00552280"/>
    <w:rsid w:val="0055261E"/>
    <w:rsid w:val="005533C2"/>
    <w:rsid w:val="005535AB"/>
    <w:rsid w:val="00553BE0"/>
    <w:rsid w:val="00554811"/>
    <w:rsid w:val="005548E7"/>
    <w:rsid w:val="00554AA2"/>
    <w:rsid w:val="00555247"/>
    <w:rsid w:val="005561FB"/>
    <w:rsid w:val="00556649"/>
    <w:rsid w:val="005567D9"/>
    <w:rsid w:val="00556807"/>
    <w:rsid w:val="005600C9"/>
    <w:rsid w:val="00560152"/>
    <w:rsid w:val="00560758"/>
    <w:rsid w:val="00561D9D"/>
    <w:rsid w:val="00562242"/>
    <w:rsid w:val="0056345F"/>
    <w:rsid w:val="00563C67"/>
    <w:rsid w:val="00563F6C"/>
    <w:rsid w:val="0056442C"/>
    <w:rsid w:val="00564D49"/>
    <w:rsid w:val="005664F8"/>
    <w:rsid w:val="0056660A"/>
    <w:rsid w:val="005666E2"/>
    <w:rsid w:val="005675C6"/>
    <w:rsid w:val="00570099"/>
    <w:rsid w:val="00572282"/>
    <w:rsid w:val="00574C9A"/>
    <w:rsid w:val="00575E2E"/>
    <w:rsid w:val="00576413"/>
    <w:rsid w:val="005768A8"/>
    <w:rsid w:val="0057695F"/>
    <w:rsid w:val="00576C3E"/>
    <w:rsid w:val="00577663"/>
    <w:rsid w:val="005779AA"/>
    <w:rsid w:val="0058022F"/>
    <w:rsid w:val="00580619"/>
    <w:rsid w:val="0058083F"/>
    <w:rsid w:val="00580A9D"/>
    <w:rsid w:val="00580FC6"/>
    <w:rsid w:val="00581901"/>
    <w:rsid w:val="00582FA9"/>
    <w:rsid w:val="0058318D"/>
    <w:rsid w:val="00583E93"/>
    <w:rsid w:val="005841C2"/>
    <w:rsid w:val="00584E39"/>
    <w:rsid w:val="00585601"/>
    <w:rsid w:val="00585EAF"/>
    <w:rsid w:val="00586400"/>
    <w:rsid w:val="005871D2"/>
    <w:rsid w:val="00587951"/>
    <w:rsid w:val="0059091B"/>
    <w:rsid w:val="00591849"/>
    <w:rsid w:val="00592B91"/>
    <w:rsid w:val="00592EA1"/>
    <w:rsid w:val="00594317"/>
    <w:rsid w:val="00594865"/>
    <w:rsid w:val="00595341"/>
    <w:rsid w:val="005954D7"/>
    <w:rsid w:val="00595766"/>
    <w:rsid w:val="00595C71"/>
    <w:rsid w:val="005965C6"/>
    <w:rsid w:val="005970DC"/>
    <w:rsid w:val="00597815"/>
    <w:rsid w:val="00597FC7"/>
    <w:rsid w:val="005A0595"/>
    <w:rsid w:val="005A0745"/>
    <w:rsid w:val="005A2079"/>
    <w:rsid w:val="005A2308"/>
    <w:rsid w:val="005A292B"/>
    <w:rsid w:val="005A2B2B"/>
    <w:rsid w:val="005A2D76"/>
    <w:rsid w:val="005A33FF"/>
    <w:rsid w:val="005A34AF"/>
    <w:rsid w:val="005A3883"/>
    <w:rsid w:val="005A547F"/>
    <w:rsid w:val="005A5B08"/>
    <w:rsid w:val="005A66A9"/>
    <w:rsid w:val="005A6800"/>
    <w:rsid w:val="005A6ED5"/>
    <w:rsid w:val="005B08D7"/>
    <w:rsid w:val="005B0B3E"/>
    <w:rsid w:val="005B1727"/>
    <w:rsid w:val="005B224A"/>
    <w:rsid w:val="005B291F"/>
    <w:rsid w:val="005B2F17"/>
    <w:rsid w:val="005B433F"/>
    <w:rsid w:val="005B447E"/>
    <w:rsid w:val="005B4908"/>
    <w:rsid w:val="005B600A"/>
    <w:rsid w:val="005B608A"/>
    <w:rsid w:val="005B7766"/>
    <w:rsid w:val="005B7889"/>
    <w:rsid w:val="005C0B16"/>
    <w:rsid w:val="005C0EA0"/>
    <w:rsid w:val="005C1125"/>
    <w:rsid w:val="005C1DAB"/>
    <w:rsid w:val="005C2C2B"/>
    <w:rsid w:val="005C3E6D"/>
    <w:rsid w:val="005C543F"/>
    <w:rsid w:val="005C5D64"/>
    <w:rsid w:val="005C5E55"/>
    <w:rsid w:val="005C5EB8"/>
    <w:rsid w:val="005C66C0"/>
    <w:rsid w:val="005C6C92"/>
    <w:rsid w:val="005C7A15"/>
    <w:rsid w:val="005D01CE"/>
    <w:rsid w:val="005D110B"/>
    <w:rsid w:val="005D1682"/>
    <w:rsid w:val="005D184F"/>
    <w:rsid w:val="005D24DD"/>
    <w:rsid w:val="005D3D8D"/>
    <w:rsid w:val="005D4297"/>
    <w:rsid w:val="005D43E7"/>
    <w:rsid w:val="005D477D"/>
    <w:rsid w:val="005D68BE"/>
    <w:rsid w:val="005D6B9D"/>
    <w:rsid w:val="005E00EA"/>
    <w:rsid w:val="005E0A67"/>
    <w:rsid w:val="005E0A7B"/>
    <w:rsid w:val="005E2866"/>
    <w:rsid w:val="005E2AA3"/>
    <w:rsid w:val="005E2C99"/>
    <w:rsid w:val="005E2CCB"/>
    <w:rsid w:val="005E35A6"/>
    <w:rsid w:val="005E41C2"/>
    <w:rsid w:val="005E4EB5"/>
    <w:rsid w:val="005E51FC"/>
    <w:rsid w:val="005E5BC0"/>
    <w:rsid w:val="005E5D66"/>
    <w:rsid w:val="005E5ED2"/>
    <w:rsid w:val="005E6A49"/>
    <w:rsid w:val="005E733A"/>
    <w:rsid w:val="005E7440"/>
    <w:rsid w:val="005F073A"/>
    <w:rsid w:val="005F0B35"/>
    <w:rsid w:val="005F12AC"/>
    <w:rsid w:val="005F1440"/>
    <w:rsid w:val="005F1949"/>
    <w:rsid w:val="005F29A5"/>
    <w:rsid w:val="005F3F70"/>
    <w:rsid w:val="005F431D"/>
    <w:rsid w:val="005F5870"/>
    <w:rsid w:val="005F6AE2"/>
    <w:rsid w:val="005F73D1"/>
    <w:rsid w:val="00600649"/>
    <w:rsid w:val="0060088B"/>
    <w:rsid w:val="0060157C"/>
    <w:rsid w:val="00601931"/>
    <w:rsid w:val="006024F5"/>
    <w:rsid w:val="0060326C"/>
    <w:rsid w:val="006034B9"/>
    <w:rsid w:val="00603758"/>
    <w:rsid w:val="00604B25"/>
    <w:rsid w:val="00605037"/>
    <w:rsid w:val="0060526B"/>
    <w:rsid w:val="00605328"/>
    <w:rsid w:val="00606ABC"/>
    <w:rsid w:val="0060759D"/>
    <w:rsid w:val="00607C4F"/>
    <w:rsid w:val="00611797"/>
    <w:rsid w:val="00612A46"/>
    <w:rsid w:val="00613DDA"/>
    <w:rsid w:val="0061409C"/>
    <w:rsid w:val="00616117"/>
    <w:rsid w:val="006178E2"/>
    <w:rsid w:val="00617BA5"/>
    <w:rsid w:val="0062032B"/>
    <w:rsid w:val="00620E18"/>
    <w:rsid w:val="00620E5C"/>
    <w:rsid w:val="00620FA4"/>
    <w:rsid w:val="00621618"/>
    <w:rsid w:val="006218FB"/>
    <w:rsid w:val="00622096"/>
    <w:rsid w:val="0062275C"/>
    <w:rsid w:val="00622FC5"/>
    <w:rsid w:val="00623518"/>
    <w:rsid w:val="00624D88"/>
    <w:rsid w:val="00625DBA"/>
    <w:rsid w:val="00626BF0"/>
    <w:rsid w:val="00626CC5"/>
    <w:rsid w:val="00630D0C"/>
    <w:rsid w:val="00631D34"/>
    <w:rsid w:val="00631DC1"/>
    <w:rsid w:val="006321F5"/>
    <w:rsid w:val="00632669"/>
    <w:rsid w:val="00632DF9"/>
    <w:rsid w:val="0063378B"/>
    <w:rsid w:val="00633B09"/>
    <w:rsid w:val="00633E77"/>
    <w:rsid w:val="00634310"/>
    <w:rsid w:val="0063469F"/>
    <w:rsid w:val="00635461"/>
    <w:rsid w:val="00635C36"/>
    <w:rsid w:val="00636025"/>
    <w:rsid w:val="006368A7"/>
    <w:rsid w:val="00636D56"/>
    <w:rsid w:val="00636E02"/>
    <w:rsid w:val="00637FA7"/>
    <w:rsid w:val="006409EC"/>
    <w:rsid w:val="0064179F"/>
    <w:rsid w:val="00642296"/>
    <w:rsid w:val="00642487"/>
    <w:rsid w:val="00643580"/>
    <w:rsid w:val="00643A8F"/>
    <w:rsid w:val="0064422B"/>
    <w:rsid w:val="00644F1D"/>
    <w:rsid w:val="006452C8"/>
    <w:rsid w:val="0064583A"/>
    <w:rsid w:val="00645BCE"/>
    <w:rsid w:val="00646A95"/>
    <w:rsid w:val="00646DD8"/>
    <w:rsid w:val="00647136"/>
    <w:rsid w:val="0064761F"/>
    <w:rsid w:val="006478B7"/>
    <w:rsid w:val="00650506"/>
    <w:rsid w:val="0065089B"/>
    <w:rsid w:val="00650A15"/>
    <w:rsid w:val="006516BD"/>
    <w:rsid w:val="006525B3"/>
    <w:rsid w:val="00652875"/>
    <w:rsid w:val="00653405"/>
    <w:rsid w:val="00653C6F"/>
    <w:rsid w:val="00654C8E"/>
    <w:rsid w:val="00654EB1"/>
    <w:rsid w:val="00655262"/>
    <w:rsid w:val="00656593"/>
    <w:rsid w:val="00657E54"/>
    <w:rsid w:val="00660065"/>
    <w:rsid w:val="006609F3"/>
    <w:rsid w:val="00661D02"/>
    <w:rsid w:val="0066224B"/>
    <w:rsid w:val="006623AF"/>
    <w:rsid w:val="00662E24"/>
    <w:rsid w:val="00662F67"/>
    <w:rsid w:val="00664189"/>
    <w:rsid w:val="0066470B"/>
    <w:rsid w:val="00664A8C"/>
    <w:rsid w:val="006650D5"/>
    <w:rsid w:val="0066547D"/>
    <w:rsid w:val="00665833"/>
    <w:rsid w:val="00667A8C"/>
    <w:rsid w:val="006713D1"/>
    <w:rsid w:val="006722FA"/>
    <w:rsid w:val="00672697"/>
    <w:rsid w:val="00672713"/>
    <w:rsid w:val="006727E0"/>
    <w:rsid w:val="00673D41"/>
    <w:rsid w:val="006740D8"/>
    <w:rsid w:val="006744D2"/>
    <w:rsid w:val="00675BE2"/>
    <w:rsid w:val="00676003"/>
    <w:rsid w:val="00676458"/>
    <w:rsid w:val="00676C47"/>
    <w:rsid w:val="00676F9C"/>
    <w:rsid w:val="006777B9"/>
    <w:rsid w:val="00677DA4"/>
    <w:rsid w:val="0068085C"/>
    <w:rsid w:val="00680DCE"/>
    <w:rsid w:val="006811CA"/>
    <w:rsid w:val="00681331"/>
    <w:rsid w:val="006818B8"/>
    <w:rsid w:val="00682249"/>
    <w:rsid w:val="00682648"/>
    <w:rsid w:val="00682D4E"/>
    <w:rsid w:val="00683928"/>
    <w:rsid w:val="00684075"/>
    <w:rsid w:val="00684160"/>
    <w:rsid w:val="00684B1D"/>
    <w:rsid w:val="006859E6"/>
    <w:rsid w:val="00685C52"/>
    <w:rsid w:val="00686090"/>
    <w:rsid w:val="0068654C"/>
    <w:rsid w:val="006865D2"/>
    <w:rsid w:val="006871A2"/>
    <w:rsid w:val="0068757D"/>
    <w:rsid w:val="006876C5"/>
    <w:rsid w:val="0068780D"/>
    <w:rsid w:val="00687CAD"/>
    <w:rsid w:val="00687D9B"/>
    <w:rsid w:val="00687F9C"/>
    <w:rsid w:val="0069075B"/>
    <w:rsid w:val="006912E1"/>
    <w:rsid w:val="006913BF"/>
    <w:rsid w:val="0069196D"/>
    <w:rsid w:val="00691B3A"/>
    <w:rsid w:val="006921A1"/>
    <w:rsid w:val="006926DB"/>
    <w:rsid w:val="0069310A"/>
    <w:rsid w:val="0069354D"/>
    <w:rsid w:val="0069356C"/>
    <w:rsid w:val="00693659"/>
    <w:rsid w:val="006939C8"/>
    <w:rsid w:val="006940E2"/>
    <w:rsid w:val="00695401"/>
    <w:rsid w:val="00695412"/>
    <w:rsid w:val="006954BB"/>
    <w:rsid w:val="00696281"/>
    <w:rsid w:val="006962D1"/>
    <w:rsid w:val="0069689D"/>
    <w:rsid w:val="00696E83"/>
    <w:rsid w:val="006970CD"/>
    <w:rsid w:val="0069735E"/>
    <w:rsid w:val="00697433"/>
    <w:rsid w:val="0069799E"/>
    <w:rsid w:val="006979AF"/>
    <w:rsid w:val="00697F04"/>
    <w:rsid w:val="006A0567"/>
    <w:rsid w:val="006A0B93"/>
    <w:rsid w:val="006A1468"/>
    <w:rsid w:val="006A14DB"/>
    <w:rsid w:val="006A2DA6"/>
    <w:rsid w:val="006A4E82"/>
    <w:rsid w:val="006A63D6"/>
    <w:rsid w:val="006A74E2"/>
    <w:rsid w:val="006B0BF8"/>
    <w:rsid w:val="006B0D62"/>
    <w:rsid w:val="006B1559"/>
    <w:rsid w:val="006B1A15"/>
    <w:rsid w:val="006B2419"/>
    <w:rsid w:val="006B38EE"/>
    <w:rsid w:val="006B4298"/>
    <w:rsid w:val="006B44C3"/>
    <w:rsid w:val="006B4B7A"/>
    <w:rsid w:val="006B5315"/>
    <w:rsid w:val="006B572A"/>
    <w:rsid w:val="006B584D"/>
    <w:rsid w:val="006B61D9"/>
    <w:rsid w:val="006B63A1"/>
    <w:rsid w:val="006B72BD"/>
    <w:rsid w:val="006B75B7"/>
    <w:rsid w:val="006B7915"/>
    <w:rsid w:val="006C01C4"/>
    <w:rsid w:val="006C0378"/>
    <w:rsid w:val="006C0FC1"/>
    <w:rsid w:val="006C1AC0"/>
    <w:rsid w:val="006C1ADE"/>
    <w:rsid w:val="006C1EC4"/>
    <w:rsid w:val="006C277E"/>
    <w:rsid w:val="006C2E42"/>
    <w:rsid w:val="006C3550"/>
    <w:rsid w:val="006C428D"/>
    <w:rsid w:val="006C4B47"/>
    <w:rsid w:val="006C4D70"/>
    <w:rsid w:val="006C4DC8"/>
    <w:rsid w:val="006C6658"/>
    <w:rsid w:val="006C7714"/>
    <w:rsid w:val="006D0037"/>
    <w:rsid w:val="006D0509"/>
    <w:rsid w:val="006D0793"/>
    <w:rsid w:val="006D0DA1"/>
    <w:rsid w:val="006D1E7E"/>
    <w:rsid w:val="006D2A2B"/>
    <w:rsid w:val="006D3210"/>
    <w:rsid w:val="006D32D6"/>
    <w:rsid w:val="006D3B92"/>
    <w:rsid w:val="006D444B"/>
    <w:rsid w:val="006D4739"/>
    <w:rsid w:val="006D5484"/>
    <w:rsid w:val="006D5D42"/>
    <w:rsid w:val="006D6B57"/>
    <w:rsid w:val="006D72BA"/>
    <w:rsid w:val="006D7581"/>
    <w:rsid w:val="006D7E43"/>
    <w:rsid w:val="006E114B"/>
    <w:rsid w:val="006E127E"/>
    <w:rsid w:val="006E12CC"/>
    <w:rsid w:val="006E1C1F"/>
    <w:rsid w:val="006E1CD6"/>
    <w:rsid w:val="006E2872"/>
    <w:rsid w:val="006E3571"/>
    <w:rsid w:val="006E4847"/>
    <w:rsid w:val="006E5D16"/>
    <w:rsid w:val="006E6A62"/>
    <w:rsid w:val="006E6D53"/>
    <w:rsid w:val="006E740C"/>
    <w:rsid w:val="006E7542"/>
    <w:rsid w:val="006F0A93"/>
    <w:rsid w:val="006F0EF9"/>
    <w:rsid w:val="006F0F27"/>
    <w:rsid w:val="006F114F"/>
    <w:rsid w:val="006F1CBE"/>
    <w:rsid w:val="006F3D8E"/>
    <w:rsid w:val="006F4064"/>
    <w:rsid w:val="006F4915"/>
    <w:rsid w:val="006F55A3"/>
    <w:rsid w:val="006F6061"/>
    <w:rsid w:val="006F65D2"/>
    <w:rsid w:val="006F73DB"/>
    <w:rsid w:val="006F76D9"/>
    <w:rsid w:val="006F77B6"/>
    <w:rsid w:val="00703056"/>
    <w:rsid w:val="007036C1"/>
    <w:rsid w:val="00704127"/>
    <w:rsid w:val="007046DF"/>
    <w:rsid w:val="00704CAC"/>
    <w:rsid w:val="00704F04"/>
    <w:rsid w:val="007051A1"/>
    <w:rsid w:val="007053C1"/>
    <w:rsid w:val="00705432"/>
    <w:rsid w:val="00706E80"/>
    <w:rsid w:val="007071DC"/>
    <w:rsid w:val="00707E8A"/>
    <w:rsid w:val="00707F8A"/>
    <w:rsid w:val="00711F5D"/>
    <w:rsid w:val="0071325A"/>
    <w:rsid w:val="0071381E"/>
    <w:rsid w:val="0071484C"/>
    <w:rsid w:val="00715BF0"/>
    <w:rsid w:val="00716060"/>
    <w:rsid w:val="00716651"/>
    <w:rsid w:val="0071775B"/>
    <w:rsid w:val="007179CC"/>
    <w:rsid w:val="007207F5"/>
    <w:rsid w:val="00720DEA"/>
    <w:rsid w:val="00721E39"/>
    <w:rsid w:val="0072247E"/>
    <w:rsid w:val="007230B3"/>
    <w:rsid w:val="007236C3"/>
    <w:rsid w:val="00723D3D"/>
    <w:rsid w:val="00723E7D"/>
    <w:rsid w:val="00724C3E"/>
    <w:rsid w:val="00725132"/>
    <w:rsid w:val="0072726A"/>
    <w:rsid w:val="00730424"/>
    <w:rsid w:val="0073140D"/>
    <w:rsid w:val="00731817"/>
    <w:rsid w:val="00731C54"/>
    <w:rsid w:val="00732144"/>
    <w:rsid w:val="007341DE"/>
    <w:rsid w:val="00734AB2"/>
    <w:rsid w:val="00734C1E"/>
    <w:rsid w:val="00734F24"/>
    <w:rsid w:val="0073510D"/>
    <w:rsid w:val="0073511A"/>
    <w:rsid w:val="007358C1"/>
    <w:rsid w:val="007360B2"/>
    <w:rsid w:val="00736231"/>
    <w:rsid w:val="0073689C"/>
    <w:rsid w:val="00736A4C"/>
    <w:rsid w:val="00736B98"/>
    <w:rsid w:val="0073725B"/>
    <w:rsid w:val="00737CDB"/>
    <w:rsid w:val="00737E9F"/>
    <w:rsid w:val="00740E96"/>
    <w:rsid w:val="0074161D"/>
    <w:rsid w:val="00741CC5"/>
    <w:rsid w:val="00742457"/>
    <w:rsid w:val="00742638"/>
    <w:rsid w:val="0074268D"/>
    <w:rsid w:val="007426A8"/>
    <w:rsid w:val="00742965"/>
    <w:rsid w:val="00742A45"/>
    <w:rsid w:val="00742B28"/>
    <w:rsid w:val="00743E7D"/>
    <w:rsid w:val="0074491E"/>
    <w:rsid w:val="00745121"/>
    <w:rsid w:val="0074516E"/>
    <w:rsid w:val="007453FB"/>
    <w:rsid w:val="00745BB6"/>
    <w:rsid w:val="00745D33"/>
    <w:rsid w:val="007462B6"/>
    <w:rsid w:val="00747B79"/>
    <w:rsid w:val="00750109"/>
    <w:rsid w:val="0075015F"/>
    <w:rsid w:val="00750252"/>
    <w:rsid w:val="007509D2"/>
    <w:rsid w:val="00750EE7"/>
    <w:rsid w:val="00750FF8"/>
    <w:rsid w:val="0075100F"/>
    <w:rsid w:val="007518E5"/>
    <w:rsid w:val="00751B41"/>
    <w:rsid w:val="00751CAA"/>
    <w:rsid w:val="00752051"/>
    <w:rsid w:val="0075245F"/>
    <w:rsid w:val="00752936"/>
    <w:rsid w:val="00753638"/>
    <w:rsid w:val="00753D2E"/>
    <w:rsid w:val="0075415F"/>
    <w:rsid w:val="007555C6"/>
    <w:rsid w:val="00755EE6"/>
    <w:rsid w:val="00756405"/>
    <w:rsid w:val="00756E69"/>
    <w:rsid w:val="0075763F"/>
    <w:rsid w:val="00757913"/>
    <w:rsid w:val="00760178"/>
    <w:rsid w:val="007606AE"/>
    <w:rsid w:val="0076085F"/>
    <w:rsid w:val="00760971"/>
    <w:rsid w:val="00760C09"/>
    <w:rsid w:val="00760D13"/>
    <w:rsid w:val="00761EAA"/>
    <w:rsid w:val="0076210D"/>
    <w:rsid w:val="00762B3B"/>
    <w:rsid w:val="00762DDE"/>
    <w:rsid w:val="00764557"/>
    <w:rsid w:val="0076467E"/>
    <w:rsid w:val="0076568B"/>
    <w:rsid w:val="00765AA3"/>
    <w:rsid w:val="00765FD8"/>
    <w:rsid w:val="007678DC"/>
    <w:rsid w:val="00767AD8"/>
    <w:rsid w:val="00770177"/>
    <w:rsid w:val="00770B25"/>
    <w:rsid w:val="00771954"/>
    <w:rsid w:val="00771996"/>
    <w:rsid w:val="0077259C"/>
    <w:rsid w:val="00772AE9"/>
    <w:rsid w:val="00772B01"/>
    <w:rsid w:val="00772B1B"/>
    <w:rsid w:val="00773578"/>
    <w:rsid w:val="00774120"/>
    <w:rsid w:val="00774692"/>
    <w:rsid w:val="007749D5"/>
    <w:rsid w:val="007749EB"/>
    <w:rsid w:val="00774B9D"/>
    <w:rsid w:val="00775147"/>
    <w:rsid w:val="0077524E"/>
    <w:rsid w:val="007763CA"/>
    <w:rsid w:val="00776C02"/>
    <w:rsid w:val="0077703E"/>
    <w:rsid w:val="0078023C"/>
    <w:rsid w:val="007806CD"/>
    <w:rsid w:val="007812A4"/>
    <w:rsid w:val="00781F2C"/>
    <w:rsid w:val="007828A0"/>
    <w:rsid w:val="00783599"/>
    <w:rsid w:val="00783CF4"/>
    <w:rsid w:val="00784948"/>
    <w:rsid w:val="00784C78"/>
    <w:rsid w:val="007855D1"/>
    <w:rsid w:val="00786FF6"/>
    <w:rsid w:val="00787AC6"/>
    <w:rsid w:val="00787D78"/>
    <w:rsid w:val="00790410"/>
    <w:rsid w:val="00791AE9"/>
    <w:rsid w:val="00792004"/>
    <w:rsid w:val="00792435"/>
    <w:rsid w:val="007924E0"/>
    <w:rsid w:val="00792ED8"/>
    <w:rsid w:val="00793E9E"/>
    <w:rsid w:val="00795310"/>
    <w:rsid w:val="007956DA"/>
    <w:rsid w:val="007958C4"/>
    <w:rsid w:val="007958EF"/>
    <w:rsid w:val="00795E25"/>
    <w:rsid w:val="0079683D"/>
    <w:rsid w:val="00796F2B"/>
    <w:rsid w:val="007A094E"/>
    <w:rsid w:val="007A0DB2"/>
    <w:rsid w:val="007A1F31"/>
    <w:rsid w:val="007A27B6"/>
    <w:rsid w:val="007A2A29"/>
    <w:rsid w:val="007A3076"/>
    <w:rsid w:val="007A3E6A"/>
    <w:rsid w:val="007A40B6"/>
    <w:rsid w:val="007A69B8"/>
    <w:rsid w:val="007A6FBC"/>
    <w:rsid w:val="007A7821"/>
    <w:rsid w:val="007A7830"/>
    <w:rsid w:val="007B0EF7"/>
    <w:rsid w:val="007B126E"/>
    <w:rsid w:val="007B1C51"/>
    <w:rsid w:val="007B1DBD"/>
    <w:rsid w:val="007B2172"/>
    <w:rsid w:val="007B26A9"/>
    <w:rsid w:val="007B28D4"/>
    <w:rsid w:val="007B3207"/>
    <w:rsid w:val="007B34D3"/>
    <w:rsid w:val="007B3604"/>
    <w:rsid w:val="007B3626"/>
    <w:rsid w:val="007B3B49"/>
    <w:rsid w:val="007B3E5B"/>
    <w:rsid w:val="007B482E"/>
    <w:rsid w:val="007B4B25"/>
    <w:rsid w:val="007B6376"/>
    <w:rsid w:val="007B69A3"/>
    <w:rsid w:val="007B7424"/>
    <w:rsid w:val="007B7692"/>
    <w:rsid w:val="007B77BD"/>
    <w:rsid w:val="007C0C6B"/>
    <w:rsid w:val="007C23B1"/>
    <w:rsid w:val="007C279A"/>
    <w:rsid w:val="007C27D7"/>
    <w:rsid w:val="007C2C22"/>
    <w:rsid w:val="007C368D"/>
    <w:rsid w:val="007C382C"/>
    <w:rsid w:val="007C3AF1"/>
    <w:rsid w:val="007C48CB"/>
    <w:rsid w:val="007C4EA9"/>
    <w:rsid w:val="007C66AA"/>
    <w:rsid w:val="007C7986"/>
    <w:rsid w:val="007D00BA"/>
    <w:rsid w:val="007D0AD5"/>
    <w:rsid w:val="007D1828"/>
    <w:rsid w:val="007D1EB8"/>
    <w:rsid w:val="007D2A98"/>
    <w:rsid w:val="007D5D62"/>
    <w:rsid w:val="007D5E53"/>
    <w:rsid w:val="007D668F"/>
    <w:rsid w:val="007D7328"/>
    <w:rsid w:val="007D7385"/>
    <w:rsid w:val="007D7F13"/>
    <w:rsid w:val="007E0F89"/>
    <w:rsid w:val="007E15B7"/>
    <w:rsid w:val="007E1E55"/>
    <w:rsid w:val="007E2616"/>
    <w:rsid w:val="007E3154"/>
    <w:rsid w:val="007E3854"/>
    <w:rsid w:val="007E485F"/>
    <w:rsid w:val="007E4E13"/>
    <w:rsid w:val="007E5750"/>
    <w:rsid w:val="007E5E4C"/>
    <w:rsid w:val="007E5F6F"/>
    <w:rsid w:val="007E6150"/>
    <w:rsid w:val="007E667B"/>
    <w:rsid w:val="007E67B8"/>
    <w:rsid w:val="007E75A9"/>
    <w:rsid w:val="007E787B"/>
    <w:rsid w:val="007E7964"/>
    <w:rsid w:val="007E7AD4"/>
    <w:rsid w:val="007E7FAD"/>
    <w:rsid w:val="007E7FCD"/>
    <w:rsid w:val="007F03B9"/>
    <w:rsid w:val="007F043C"/>
    <w:rsid w:val="007F24BE"/>
    <w:rsid w:val="007F2572"/>
    <w:rsid w:val="007F2581"/>
    <w:rsid w:val="007F27C4"/>
    <w:rsid w:val="007F3E77"/>
    <w:rsid w:val="007F41B6"/>
    <w:rsid w:val="007F4A2B"/>
    <w:rsid w:val="007F4CB2"/>
    <w:rsid w:val="007F5770"/>
    <w:rsid w:val="007F5772"/>
    <w:rsid w:val="007F5E5D"/>
    <w:rsid w:val="007F6492"/>
    <w:rsid w:val="007F66B0"/>
    <w:rsid w:val="007F7217"/>
    <w:rsid w:val="008002D7"/>
    <w:rsid w:val="008002EE"/>
    <w:rsid w:val="008010DD"/>
    <w:rsid w:val="00801479"/>
    <w:rsid w:val="008020E7"/>
    <w:rsid w:val="0080266E"/>
    <w:rsid w:val="0080273D"/>
    <w:rsid w:val="00802EE9"/>
    <w:rsid w:val="008033DA"/>
    <w:rsid w:val="00803826"/>
    <w:rsid w:val="0080427D"/>
    <w:rsid w:val="008044C1"/>
    <w:rsid w:val="008044E6"/>
    <w:rsid w:val="008049C1"/>
    <w:rsid w:val="00804F93"/>
    <w:rsid w:val="00805274"/>
    <w:rsid w:val="00807A9E"/>
    <w:rsid w:val="00807AF9"/>
    <w:rsid w:val="00810BF8"/>
    <w:rsid w:val="00810E8A"/>
    <w:rsid w:val="00811424"/>
    <w:rsid w:val="0081147F"/>
    <w:rsid w:val="00811792"/>
    <w:rsid w:val="00811B6F"/>
    <w:rsid w:val="00814B30"/>
    <w:rsid w:val="00814F1C"/>
    <w:rsid w:val="00816230"/>
    <w:rsid w:val="00816CAA"/>
    <w:rsid w:val="00816FFB"/>
    <w:rsid w:val="00817562"/>
    <w:rsid w:val="008203D0"/>
    <w:rsid w:val="00820DD5"/>
    <w:rsid w:val="00821000"/>
    <w:rsid w:val="00821876"/>
    <w:rsid w:val="00821F9F"/>
    <w:rsid w:val="008220A7"/>
    <w:rsid w:val="008220DB"/>
    <w:rsid w:val="008235F6"/>
    <w:rsid w:val="008247E4"/>
    <w:rsid w:val="00824950"/>
    <w:rsid w:val="00824B67"/>
    <w:rsid w:val="00825524"/>
    <w:rsid w:val="008259A8"/>
    <w:rsid w:val="00825CAF"/>
    <w:rsid w:val="00826167"/>
    <w:rsid w:val="00826875"/>
    <w:rsid w:val="008273D4"/>
    <w:rsid w:val="00830053"/>
    <w:rsid w:val="00830B05"/>
    <w:rsid w:val="00830CA6"/>
    <w:rsid w:val="00830F61"/>
    <w:rsid w:val="0083143A"/>
    <w:rsid w:val="008329AF"/>
    <w:rsid w:val="00832CC7"/>
    <w:rsid w:val="00832CCF"/>
    <w:rsid w:val="00833815"/>
    <w:rsid w:val="00833DD4"/>
    <w:rsid w:val="00833E9D"/>
    <w:rsid w:val="00833F2F"/>
    <w:rsid w:val="00834685"/>
    <w:rsid w:val="00834971"/>
    <w:rsid w:val="00834C85"/>
    <w:rsid w:val="00834C89"/>
    <w:rsid w:val="0083507E"/>
    <w:rsid w:val="00835BCE"/>
    <w:rsid w:val="00835CC6"/>
    <w:rsid w:val="00835E67"/>
    <w:rsid w:val="00836013"/>
    <w:rsid w:val="0083621B"/>
    <w:rsid w:val="008362FB"/>
    <w:rsid w:val="008367DC"/>
    <w:rsid w:val="00837157"/>
    <w:rsid w:val="0083749D"/>
    <w:rsid w:val="008379D3"/>
    <w:rsid w:val="00837C65"/>
    <w:rsid w:val="00840473"/>
    <w:rsid w:val="0084097F"/>
    <w:rsid w:val="00840DC0"/>
    <w:rsid w:val="00841E9C"/>
    <w:rsid w:val="008422E7"/>
    <w:rsid w:val="008427C4"/>
    <w:rsid w:val="00843BD9"/>
    <w:rsid w:val="0084489C"/>
    <w:rsid w:val="00844B00"/>
    <w:rsid w:val="00844F41"/>
    <w:rsid w:val="00845BFC"/>
    <w:rsid w:val="00845E05"/>
    <w:rsid w:val="00846256"/>
    <w:rsid w:val="00846B5D"/>
    <w:rsid w:val="00847507"/>
    <w:rsid w:val="00847923"/>
    <w:rsid w:val="00850B8F"/>
    <w:rsid w:val="00850CB6"/>
    <w:rsid w:val="0085123E"/>
    <w:rsid w:val="00851C61"/>
    <w:rsid w:val="008534EB"/>
    <w:rsid w:val="0085401C"/>
    <w:rsid w:val="008540CC"/>
    <w:rsid w:val="00854725"/>
    <w:rsid w:val="00854832"/>
    <w:rsid w:val="008553B2"/>
    <w:rsid w:val="00856030"/>
    <w:rsid w:val="00856540"/>
    <w:rsid w:val="0085664C"/>
    <w:rsid w:val="00856C8E"/>
    <w:rsid w:val="008570A8"/>
    <w:rsid w:val="0085740D"/>
    <w:rsid w:val="00860A1B"/>
    <w:rsid w:val="00861D6F"/>
    <w:rsid w:val="008621E6"/>
    <w:rsid w:val="00862B97"/>
    <w:rsid w:val="00862B9E"/>
    <w:rsid w:val="00863D86"/>
    <w:rsid w:val="00864080"/>
    <w:rsid w:val="008643CA"/>
    <w:rsid w:val="008647CB"/>
    <w:rsid w:val="008647F4"/>
    <w:rsid w:val="00864A4E"/>
    <w:rsid w:val="00864AF3"/>
    <w:rsid w:val="00864FF6"/>
    <w:rsid w:val="00865032"/>
    <w:rsid w:val="00866540"/>
    <w:rsid w:val="00866F13"/>
    <w:rsid w:val="00867554"/>
    <w:rsid w:val="00867B2C"/>
    <w:rsid w:val="008701D7"/>
    <w:rsid w:val="00871B64"/>
    <w:rsid w:val="00871EFD"/>
    <w:rsid w:val="008729C2"/>
    <w:rsid w:val="00873E2B"/>
    <w:rsid w:val="00874623"/>
    <w:rsid w:val="00874DB0"/>
    <w:rsid w:val="00876189"/>
    <w:rsid w:val="008768CE"/>
    <w:rsid w:val="0087779A"/>
    <w:rsid w:val="00877A7F"/>
    <w:rsid w:val="0088094D"/>
    <w:rsid w:val="00880997"/>
    <w:rsid w:val="0088101C"/>
    <w:rsid w:val="008831B8"/>
    <w:rsid w:val="00883CCC"/>
    <w:rsid w:val="00884BFB"/>
    <w:rsid w:val="00885172"/>
    <w:rsid w:val="00885D60"/>
    <w:rsid w:val="00885DE6"/>
    <w:rsid w:val="00886025"/>
    <w:rsid w:val="0088656C"/>
    <w:rsid w:val="008868DB"/>
    <w:rsid w:val="00886B2E"/>
    <w:rsid w:val="00886B89"/>
    <w:rsid w:val="00886F57"/>
    <w:rsid w:val="00887A93"/>
    <w:rsid w:val="0089060D"/>
    <w:rsid w:val="00890B01"/>
    <w:rsid w:val="008916C8"/>
    <w:rsid w:val="00892217"/>
    <w:rsid w:val="00892568"/>
    <w:rsid w:val="00892B3B"/>
    <w:rsid w:val="00892FA9"/>
    <w:rsid w:val="008944D5"/>
    <w:rsid w:val="00894A95"/>
    <w:rsid w:val="00896434"/>
    <w:rsid w:val="008965B7"/>
    <w:rsid w:val="0089757A"/>
    <w:rsid w:val="00897630"/>
    <w:rsid w:val="008A0770"/>
    <w:rsid w:val="008A14F9"/>
    <w:rsid w:val="008A19F2"/>
    <w:rsid w:val="008A1E14"/>
    <w:rsid w:val="008A2788"/>
    <w:rsid w:val="008A280C"/>
    <w:rsid w:val="008A2936"/>
    <w:rsid w:val="008A2A35"/>
    <w:rsid w:val="008A40AC"/>
    <w:rsid w:val="008A4390"/>
    <w:rsid w:val="008A4736"/>
    <w:rsid w:val="008A4B84"/>
    <w:rsid w:val="008A50D5"/>
    <w:rsid w:val="008A649E"/>
    <w:rsid w:val="008A72B4"/>
    <w:rsid w:val="008A7C30"/>
    <w:rsid w:val="008A7D67"/>
    <w:rsid w:val="008B0344"/>
    <w:rsid w:val="008B060C"/>
    <w:rsid w:val="008B0677"/>
    <w:rsid w:val="008B1578"/>
    <w:rsid w:val="008B26CA"/>
    <w:rsid w:val="008B2BD9"/>
    <w:rsid w:val="008B323E"/>
    <w:rsid w:val="008B36A3"/>
    <w:rsid w:val="008B3961"/>
    <w:rsid w:val="008B3C4D"/>
    <w:rsid w:val="008B420C"/>
    <w:rsid w:val="008B46B5"/>
    <w:rsid w:val="008B46DC"/>
    <w:rsid w:val="008B4B8C"/>
    <w:rsid w:val="008B53AD"/>
    <w:rsid w:val="008B5A7F"/>
    <w:rsid w:val="008B5AB1"/>
    <w:rsid w:val="008B61AD"/>
    <w:rsid w:val="008B66F2"/>
    <w:rsid w:val="008B7757"/>
    <w:rsid w:val="008B7E7F"/>
    <w:rsid w:val="008C01F2"/>
    <w:rsid w:val="008C058A"/>
    <w:rsid w:val="008C07B7"/>
    <w:rsid w:val="008C0DD0"/>
    <w:rsid w:val="008C17BA"/>
    <w:rsid w:val="008C185C"/>
    <w:rsid w:val="008C2F67"/>
    <w:rsid w:val="008C4A21"/>
    <w:rsid w:val="008C5296"/>
    <w:rsid w:val="008C5717"/>
    <w:rsid w:val="008C585A"/>
    <w:rsid w:val="008C6188"/>
    <w:rsid w:val="008C63D1"/>
    <w:rsid w:val="008C6609"/>
    <w:rsid w:val="008C6929"/>
    <w:rsid w:val="008C6D2F"/>
    <w:rsid w:val="008C7C15"/>
    <w:rsid w:val="008D097E"/>
    <w:rsid w:val="008D0C2D"/>
    <w:rsid w:val="008D0E4E"/>
    <w:rsid w:val="008D1679"/>
    <w:rsid w:val="008D30DE"/>
    <w:rsid w:val="008D329A"/>
    <w:rsid w:val="008D3670"/>
    <w:rsid w:val="008D3982"/>
    <w:rsid w:val="008D40F1"/>
    <w:rsid w:val="008D48E9"/>
    <w:rsid w:val="008D54A2"/>
    <w:rsid w:val="008D5AD0"/>
    <w:rsid w:val="008D5E1F"/>
    <w:rsid w:val="008D735E"/>
    <w:rsid w:val="008D7E51"/>
    <w:rsid w:val="008D7E63"/>
    <w:rsid w:val="008E0E16"/>
    <w:rsid w:val="008E1501"/>
    <w:rsid w:val="008E15F3"/>
    <w:rsid w:val="008E1AF1"/>
    <w:rsid w:val="008E1F8F"/>
    <w:rsid w:val="008E2362"/>
    <w:rsid w:val="008E244A"/>
    <w:rsid w:val="008E279B"/>
    <w:rsid w:val="008E311B"/>
    <w:rsid w:val="008E33CB"/>
    <w:rsid w:val="008E34B4"/>
    <w:rsid w:val="008E36F4"/>
    <w:rsid w:val="008E4831"/>
    <w:rsid w:val="008E4D7E"/>
    <w:rsid w:val="008E4FDD"/>
    <w:rsid w:val="008E4FFE"/>
    <w:rsid w:val="008E58EF"/>
    <w:rsid w:val="008E5B00"/>
    <w:rsid w:val="008E5C2B"/>
    <w:rsid w:val="008E6161"/>
    <w:rsid w:val="008E6381"/>
    <w:rsid w:val="008E6F2C"/>
    <w:rsid w:val="008E72DC"/>
    <w:rsid w:val="008E7740"/>
    <w:rsid w:val="008F17FF"/>
    <w:rsid w:val="008F227C"/>
    <w:rsid w:val="008F2908"/>
    <w:rsid w:val="008F314B"/>
    <w:rsid w:val="008F31AF"/>
    <w:rsid w:val="008F4298"/>
    <w:rsid w:val="008F4519"/>
    <w:rsid w:val="008F4BE0"/>
    <w:rsid w:val="008F4CBA"/>
    <w:rsid w:val="008F5310"/>
    <w:rsid w:val="008F5C2D"/>
    <w:rsid w:val="008F6582"/>
    <w:rsid w:val="008F662D"/>
    <w:rsid w:val="008F6746"/>
    <w:rsid w:val="008F72D2"/>
    <w:rsid w:val="008F733C"/>
    <w:rsid w:val="008F786F"/>
    <w:rsid w:val="008F7F6F"/>
    <w:rsid w:val="00900609"/>
    <w:rsid w:val="0090065A"/>
    <w:rsid w:val="00901401"/>
    <w:rsid w:val="0090157A"/>
    <w:rsid w:val="00901FC1"/>
    <w:rsid w:val="009023A0"/>
    <w:rsid w:val="00902F8C"/>
    <w:rsid w:val="00903EE1"/>
    <w:rsid w:val="0090469B"/>
    <w:rsid w:val="0090556A"/>
    <w:rsid w:val="0090558C"/>
    <w:rsid w:val="00905BC5"/>
    <w:rsid w:val="0090680E"/>
    <w:rsid w:val="009071C8"/>
    <w:rsid w:val="009076DE"/>
    <w:rsid w:val="0091110A"/>
    <w:rsid w:val="009122D4"/>
    <w:rsid w:val="00912622"/>
    <w:rsid w:val="00912F73"/>
    <w:rsid w:val="0091365B"/>
    <w:rsid w:val="00913D52"/>
    <w:rsid w:val="00913DF1"/>
    <w:rsid w:val="0091426E"/>
    <w:rsid w:val="00914856"/>
    <w:rsid w:val="00914A27"/>
    <w:rsid w:val="00914B35"/>
    <w:rsid w:val="00914F2D"/>
    <w:rsid w:val="00916233"/>
    <w:rsid w:val="00916B38"/>
    <w:rsid w:val="0091782A"/>
    <w:rsid w:val="00917AA6"/>
    <w:rsid w:val="009202E7"/>
    <w:rsid w:val="009204A2"/>
    <w:rsid w:val="009206C2"/>
    <w:rsid w:val="009209F1"/>
    <w:rsid w:val="00920B96"/>
    <w:rsid w:val="00920BD2"/>
    <w:rsid w:val="00920D48"/>
    <w:rsid w:val="00920D8B"/>
    <w:rsid w:val="009219E2"/>
    <w:rsid w:val="00921A83"/>
    <w:rsid w:val="00921D07"/>
    <w:rsid w:val="00921D29"/>
    <w:rsid w:val="00922268"/>
    <w:rsid w:val="009225EE"/>
    <w:rsid w:val="00922C80"/>
    <w:rsid w:val="00922CA2"/>
    <w:rsid w:val="00922CC5"/>
    <w:rsid w:val="00923906"/>
    <w:rsid w:val="00923FB6"/>
    <w:rsid w:val="009243B9"/>
    <w:rsid w:val="00924735"/>
    <w:rsid w:val="0092515A"/>
    <w:rsid w:val="00925306"/>
    <w:rsid w:val="0092602D"/>
    <w:rsid w:val="00926157"/>
    <w:rsid w:val="009261E4"/>
    <w:rsid w:val="009271C5"/>
    <w:rsid w:val="00927CF9"/>
    <w:rsid w:val="00927E56"/>
    <w:rsid w:val="00932C9E"/>
    <w:rsid w:val="009332B2"/>
    <w:rsid w:val="00933B17"/>
    <w:rsid w:val="009345A9"/>
    <w:rsid w:val="00934C10"/>
    <w:rsid w:val="009350E5"/>
    <w:rsid w:val="00935216"/>
    <w:rsid w:val="0093595F"/>
    <w:rsid w:val="00935D59"/>
    <w:rsid w:val="009361AE"/>
    <w:rsid w:val="009364FE"/>
    <w:rsid w:val="00936568"/>
    <w:rsid w:val="009375FE"/>
    <w:rsid w:val="0094090D"/>
    <w:rsid w:val="00940BA4"/>
    <w:rsid w:val="00942AE8"/>
    <w:rsid w:val="00942CBA"/>
    <w:rsid w:val="00942F6D"/>
    <w:rsid w:val="009437D6"/>
    <w:rsid w:val="00943FE4"/>
    <w:rsid w:val="009451DC"/>
    <w:rsid w:val="00946173"/>
    <w:rsid w:val="00946390"/>
    <w:rsid w:val="00946483"/>
    <w:rsid w:val="00946B8A"/>
    <w:rsid w:val="00946C7B"/>
    <w:rsid w:val="00947404"/>
    <w:rsid w:val="0094782F"/>
    <w:rsid w:val="009505CD"/>
    <w:rsid w:val="00950B15"/>
    <w:rsid w:val="00950B50"/>
    <w:rsid w:val="009510D8"/>
    <w:rsid w:val="0095151D"/>
    <w:rsid w:val="0095175C"/>
    <w:rsid w:val="00952BC8"/>
    <w:rsid w:val="009530A9"/>
    <w:rsid w:val="00953166"/>
    <w:rsid w:val="009536F9"/>
    <w:rsid w:val="009539CD"/>
    <w:rsid w:val="00953A07"/>
    <w:rsid w:val="00953DEC"/>
    <w:rsid w:val="009548E9"/>
    <w:rsid w:val="00954AC0"/>
    <w:rsid w:val="00954D0D"/>
    <w:rsid w:val="009550E4"/>
    <w:rsid w:val="00955284"/>
    <w:rsid w:val="00955BAE"/>
    <w:rsid w:val="00955F19"/>
    <w:rsid w:val="0095610F"/>
    <w:rsid w:val="00956AB4"/>
    <w:rsid w:val="0095769A"/>
    <w:rsid w:val="00957DF3"/>
    <w:rsid w:val="0096007A"/>
    <w:rsid w:val="009604B4"/>
    <w:rsid w:val="0096140B"/>
    <w:rsid w:val="00962B75"/>
    <w:rsid w:val="00963088"/>
    <w:rsid w:val="009630A5"/>
    <w:rsid w:val="009637D2"/>
    <w:rsid w:val="009640EE"/>
    <w:rsid w:val="00964111"/>
    <w:rsid w:val="00964368"/>
    <w:rsid w:val="00964DCA"/>
    <w:rsid w:val="0096628E"/>
    <w:rsid w:val="00966AA8"/>
    <w:rsid w:val="00967139"/>
    <w:rsid w:val="00970413"/>
    <w:rsid w:val="0097141C"/>
    <w:rsid w:val="00971AAA"/>
    <w:rsid w:val="00972A62"/>
    <w:rsid w:val="00972C21"/>
    <w:rsid w:val="009733FE"/>
    <w:rsid w:val="00973A97"/>
    <w:rsid w:val="00974541"/>
    <w:rsid w:val="0097486B"/>
    <w:rsid w:val="0097494F"/>
    <w:rsid w:val="00974D58"/>
    <w:rsid w:val="00976DC3"/>
    <w:rsid w:val="009770E2"/>
    <w:rsid w:val="00980C93"/>
    <w:rsid w:val="0098182A"/>
    <w:rsid w:val="00981FDE"/>
    <w:rsid w:val="00982353"/>
    <w:rsid w:val="00982584"/>
    <w:rsid w:val="009834A1"/>
    <w:rsid w:val="00983692"/>
    <w:rsid w:val="00983ECA"/>
    <w:rsid w:val="009843B3"/>
    <w:rsid w:val="00984B8C"/>
    <w:rsid w:val="00985A12"/>
    <w:rsid w:val="0098700C"/>
    <w:rsid w:val="009903C3"/>
    <w:rsid w:val="0099230D"/>
    <w:rsid w:val="00992E95"/>
    <w:rsid w:val="009939D9"/>
    <w:rsid w:val="00993C25"/>
    <w:rsid w:val="009946D3"/>
    <w:rsid w:val="009949E1"/>
    <w:rsid w:val="00994D27"/>
    <w:rsid w:val="00994F6F"/>
    <w:rsid w:val="009954E8"/>
    <w:rsid w:val="00995909"/>
    <w:rsid w:val="009960D4"/>
    <w:rsid w:val="00996BE6"/>
    <w:rsid w:val="0099786F"/>
    <w:rsid w:val="00997AEB"/>
    <w:rsid w:val="009A0251"/>
    <w:rsid w:val="009A2563"/>
    <w:rsid w:val="009A3D4C"/>
    <w:rsid w:val="009A3F4F"/>
    <w:rsid w:val="009A44B3"/>
    <w:rsid w:val="009A4895"/>
    <w:rsid w:val="009A49D0"/>
    <w:rsid w:val="009A55F4"/>
    <w:rsid w:val="009A6555"/>
    <w:rsid w:val="009A6829"/>
    <w:rsid w:val="009A6CBA"/>
    <w:rsid w:val="009A6E18"/>
    <w:rsid w:val="009A70EE"/>
    <w:rsid w:val="009A7153"/>
    <w:rsid w:val="009A7AF1"/>
    <w:rsid w:val="009A7E30"/>
    <w:rsid w:val="009A7FDC"/>
    <w:rsid w:val="009B00A5"/>
    <w:rsid w:val="009B01F4"/>
    <w:rsid w:val="009B1806"/>
    <w:rsid w:val="009B18B7"/>
    <w:rsid w:val="009B1EC9"/>
    <w:rsid w:val="009B292B"/>
    <w:rsid w:val="009B3FC5"/>
    <w:rsid w:val="009B56EF"/>
    <w:rsid w:val="009B5EFE"/>
    <w:rsid w:val="009B6B86"/>
    <w:rsid w:val="009B6C6F"/>
    <w:rsid w:val="009B7646"/>
    <w:rsid w:val="009B78D8"/>
    <w:rsid w:val="009B7A2F"/>
    <w:rsid w:val="009B7EE9"/>
    <w:rsid w:val="009C19E4"/>
    <w:rsid w:val="009C1C9C"/>
    <w:rsid w:val="009C2042"/>
    <w:rsid w:val="009C2D77"/>
    <w:rsid w:val="009C2FDC"/>
    <w:rsid w:val="009C342A"/>
    <w:rsid w:val="009C3B34"/>
    <w:rsid w:val="009C3E34"/>
    <w:rsid w:val="009C3F87"/>
    <w:rsid w:val="009C402A"/>
    <w:rsid w:val="009C4E7A"/>
    <w:rsid w:val="009C5334"/>
    <w:rsid w:val="009C5385"/>
    <w:rsid w:val="009C5D2B"/>
    <w:rsid w:val="009C635A"/>
    <w:rsid w:val="009C65C2"/>
    <w:rsid w:val="009C6B60"/>
    <w:rsid w:val="009C6D73"/>
    <w:rsid w:val="009C6D99"/>
    <w:rsid w:val="009C72EA"/>
    <w:rsid w:val="009C78D9"/>
    <w:rsid w:val="009C79C0"/>
    <w:rsid w:val="009C79FD"/>
    <w:rsid w:val="009D1347"/>
    <w:rsid w:val="009D1371"/>
    <w:rsid w:val="009D185B"/>
    <w:rsid w:val="009D1D2B"/>
    <w:rsid w:val="009D2089"/>
    <w:rsid w:val="009D316C"/>
    <w:rsid w:val="009D3285"/>
    <w:rsid w:val="009D32D1"/>
    <w:rsid w:val="009D3F0C"/>
    <w:rsid w:val="009D3FBF"/>
    <w:rsid w:val="009D49B0"/>
    <w:rsid w:val="009D4DCC"/>
    <w:rsid w:val="009D5A2D"/>
    <w:rsid w:val="009D6054"/>
    <w:rsid w:val="009D6B47"/>
    <w:rsid w:val="009D70A8"/>
    <w:rsid w:val="009D72F8"/>
    <w:rsid w:val="009D7B0A"/>
    <w:rsid w:val="009D7CE9"/>
    <w:rsid w:val="009D7F69"/>
    <w:rsid w:val="009E0898"/>
    <w:rsid w:val="009E1245"/>
    <w:rsid w:val="009E2334"/>
    <w:rsid w:val="009E269D"/>
    <w:rsid w:val="009E3950"/>
    <w:rsid w:val="009E44C5"/>
    <w:rsid w:val="009E546C"/>
    <w:rsid w:val="009E5C85"/>
    <w:rsid w:val="009E5F5E"/>
    <w:rsid w:val="009E6748"/>
    <w:rsid w:val="009E6FD0"/>
    <w:rsid w:val="009E73FF"/>
    <w:rsid w:val="009F0754"/>
    <w:rsid w:val="009F091F"/>
    <w:rsid w:val="009F0B56"/>
    <w:rsid w:val="009F24E0"/>
    <w:rsid w:val="009F29A9"/>
    <w:rsid w:val="009F4860"/>
    <w:rsid w:val="009F4BBB"/>
    <w:rsid w:val="009F5302"/>
    <w:rsid w:val="009F5FDF"/>
    <w:rsid w:val="009F6432"/>
    <w:rsid w:val="009F6B87"/>
    <w:rsid w:val="009F6B90"/>
    <w:rsid w:val="009F6CDA"/>
    <w:rsid w:val="009F7660"/>
    <w:rsid w:val="009F77A4"/>
    <w:rsid w:val="00A00B65"/>
    <w:rsid w:val="00A0139C"/>
    <w:rsid w:val="00A01789"/>
    <w:rsid w:val="00A01B4C"/>
    <w:rsid w:val="00A022BC"/>
    <w:rsid w:val="00A02674"/>
    <w:rsid w:val="00A03015"/>
    <w:rsid w:val="00A033A4"/>
    <w:rsid w:val="00A03F89"/>
    <w:rsid w:val="00A049C7"/>
    <w:rsid w:val="00A04BDC"/>
    <w:rsid w:val="00A05DA7"/>
    <w:rsid w:val="00A0694B"/>
    <w:rsid w:val="00A07228"/>
    <w:rsid w:val="00A07354"/>
    <w:rsid w:val="00A07384"/>
    <w:rsid w:val="00A07467"/>
    <w:rsid w:val="00A07603"/>
    <w:rsid w:val="00A07615"/>
    <w:rsid w:val="00A0772A"/>
    <w:rsid w:val="00A10014"/>
    <w:rsid w:val="00A102B0"/>
    <w:rsid w:val="00A1135C"/>
    <w:rsid w:val="00A11409"/>
    <w:rsid w:val="00A11E14"/>
    <w:rsid w:val="00A121A8"/>
    <w:rsid w:val="00A126A4"/>
    <w:rsid w:val="00A1313E"/>
    <w:rsid w:val="00A136CD"/>
    <w:rsid w:val="00A13EFA"/>
    <w:rsid w:val="00A15C0A"/>
    <w:rsid w:val="00A16BC2"/>
    <w:rsid w:val="00A20A65"/>
    <w:rsid w:val="00A20B99"/>
    <w:rsid w:val="00A20F8A"/>
    <w:rsid w:val="00A215D4"/>
    <w:rsid w:val="00A21E0B"/>
    <w:rsid w:val="00A22260"/>
    <w:rsid w:val="00A2253C"/>
    <w:rsid w:val="00A22919"/>
    <w:rsid w:val="00A22DFC"/>
    <w:rsid w:val="00A236BD"/>
    <w:rsid w:val="00A24EB7"/>
    <w:rsid w:val="00A25107"/>
    <w:rsid w:val="00A25DEF"/>
    <w:rsid w:val="00A25EE2"/>
    <w:rsid w:val="00A269E3"/>
    <w:rsid w:val="00A2731D"/>
    <w:rsid w:val="00A27AC6"/>
    <w:rsid w:val="00A30000"/>
    <w:rsid w:val="00A306A5"/>
    <w:rsid w:val="00A30C83"/>
    <w:rsid w:val="00A31DCD"/>
    <w:rsid w:val="00A32A45"/>
    <w:rsid w:val="00A32B6E"/>
    <w:rsid w:val="00A330BD"/>
    <w:rsid w:val="00A334E6"/>
    <w:rsid w:val="00A34040"/>
    <w:rsid w:val="00A35223"/>
    <w:rsid w:val="00A3552B"/>
    <w:rsid w:val="00A37081"/>
    <w:rsid w:val="00A37402"/>
    <w:rsid w:val="00A40496"/>
    <w:rsid w:val="00A41ECB"/>
    <w:rsid w:val="00A4203B"/>
    <w:rsid w:val="00A420A5"/>
    <w:rsid w:val="00A42A19"/>
    <w:rsid w:val="00A42E6D"/>
    <w:rsid w:val="00A438B5"/>
    <w:rsid w:val="00A43C48"/>
    <w:rsid w:val="00A43DF4"/>
    <w:rsid w:val="00A43E80"/>
    <w:rsid w:val="00A43ED1"/>
    <w:rsid w:val="00A44264"/>
    <w:rsid w:val="00A44ED0"/>
    <w:rsid w:val="00A45305"/>
    <w:rsid w:val="00A4563C"/>
    <w:rsid w:val="00A45BA4"/>
    <w:rsid w:val="00A45D31"/>
    <w:rsid w:val="00A45FBF"/>
    <w:rsid w:val="00A47758"/>
    <w:rsid w:val="00A479AD"/>
    <w:rsid w:val="00A47D86"/>
    <w:rsid w:val="00A51643"/>
    <w:rsid w:val="00A51ACC"/>
    <w:rsid w:val="00A5222E"/>
    <w:rsid w:val="00A533D6"/>
    <w:rsid w:val="00A53BCE"/>
    <w:rsid w:val="00A54379"/>
    <w:rsid w:val="00A54D5C"/>
    <w:rsid w:val="00A550FA"/>
    <w:rsid w:val="00A55676"/>
    <w:rsid w:val="00A55B0D"/>
    <w:rsid w:val="00A56628"/>
    <w:rsid w:val="00A5698A"/>
    <w:rsid w:val="00A56BBF"/>
    <w:rsid w:val="00A56C88"/>
    <w:rsid w:val="00A57F1D"/>
    <w:rsid w:val="00A60415"/>
    <w:rsid w:val="00A61C24"/>
    <w:rsid w:val="00A636D5"/>
    <w:rsid w:val="00A645C4"/>
    <w:rsid w:val="00A6564A"/>
    <w:rsid w:val="00A6582D"/>
    <w:rsid w:val="00A65E2F"/>
    <w:rsid w:val="00A66378"/>
    <w:rsid w:val="00A6657D"/>
    <w:rsid w:val="00A66720"/>
    <w:rsid w:val="00A70128"/>
    <w:rsid w:val="00A70FDF"/>
    <w:rsid w:val="00A7150E"/>
    <w:rsid w:val="00A72ED8"/>
    <w:rsid w:val="00A73B7D"/>
    <w:rsid w:val="00A74348"/>
    <w:rsid w:val="00A747C8"/>
    <w:rsid w:val="00A749AE"/>
    <w:rsid w:val="00A74F36"/>
    <w:rsid w:val="00A755ED"/>
    <w:rsid w:val="00A767BC"/>
    <w:rsid w:val="00A7745F"/>
    <w:rsid w:val="00A800C9"/>
    <w:rsid w:val="00A8027F"/>
    <w:rsid w:val="00A81B5C"/>
    <w:rsid w:val="00A83415"/>
    <w:rsid w:val="00A83420"/>
    <w:rsid w:val="00A835EF"/>
    <w:rsid w:val="00A8379D"/>
    <w:rsid w:val="00A84770"/>
    <w:rsid w:val="00A84C25"/>
    <w:rsid w:val="00A84C7F"/>
    <w:rsid w:val="00A856A3"/>
    <w:rsid w:val="00A8576B"/>
    <w:rsid w:val="00A85CA8"/>
    <w:rsid w:val="00A85DC2"/>
    <w:rsid w:val="00A86C2E"/>
    <w:rsid w:val="00A87303"/>
    <w:rsid w:val="00A8797C"/>
    <w:rsid w:val="00A87A96"/>
    <w:rsid w:val="00A911EF"/>
    <w:rsid w:val="00A913C9"/>
    <w:rsid w:val="00A925A8"/>
    <w:rsid w:val="00A92F3E"/>
    <w:rsid w:val="00A92F7F"/>
    <w:rsid w:val="00A93669"/>
    <w:rsid w:val="00A938FF"/>
    <w:rsid w:val="00A94381"/>
    <w:rsid w:val="00A95F90"/>
    <w:rsid w:val="00A969C6"/>
    <w:rsid w:val="00A978B7"/>
    <w:rsid w:val="00A9791C"/>
    <w:rsid w:val="00AA0208"/>
    <w:rsid w:val="00AA08C2"/>
    <w:rsid w:val="00AA1F55"/>
    <w:rsid w:val="00AA2205"/>
    <w:rsid w:val="00AA2C79"/>
    <w:rsid w:val="00AA3582"/>
    <w:rsid w:val="00AA392C"/>
    <w:rsid w:val="00AA41ED"/>
    <w:rsid w:val="00AA4A0A"/>
    <w:rsid w:val="00AA5414"/>
    <w:rsid w:val="00AA5D78"/>
    <w:rsid w:val="00AA65D6"/>
    <w:rsid w:val="00AA7886"/>
    <w:rsid w:val="00AB0098"/>
    <w:rsid w:val="00AB02DE"/>
    <w:rsid w:val="00AB0B7D"/>
    <w:rsid w:val="00AB1392"/>
    <w:rsid w:val="00AB14B9"/>
    <w:rsid w:val="00AB177D"/>
    <w:rsid w:val="00AB2834"/>
    <w:rsid w:val="00AB3AF8"/>
    <w:rsid w:val="00AB4A88"/>
    <w:rsid w:val="00AB4EA5"/>
    <w:rsid w:val="00AB64F1"/>
    <w:rsid w:val="00AB7561"/>
    <w:rsid w:val="00AB75AE"/>
    <w:rsid w:val="00AC01B4"/>
    <w:rsid w:val="00AC02DD"/>
    <w:rsid w:val="00AC0F86"/>
    <w:rsid w:val="00AC2170"/>
    <w:rsid w:val="00AC3074"/>
    <w:rsid w:val="00AC3261"/>
    <w:rsid w:val="00AC380C"/>
    <w:rsid w:val="00AC4696"/>
    <w:rsid w:val="00AC4A84"/>
    <w:rsid w:val="00AC510F"/>
    <w:rsid w:val="00AC52C2"/>
    <w:rsid w:val="00AC5349"/>
    <w:rsid w:val="00AC550E"/>
    <w:rsid w:val="00AC5592"/>
    <w:rsid w:val="00AC5594"/>
    <w:rsid w:val="00AC5BBC"/>
    <w:rsid w:val="00AC66A1"/>
    <w:rsid w:val="00AC7146"/>
    <w:rsid w:val="00AC77E7"/>
    <w:rsid w:val="00AC7973"/>
    <w:rsid w:val="00AC7CAC"/>
    <w:rsid w:val="00AC7D83"/>
    <w:rsid w:val="00AD06A5"/>
    <w:rsid w:val="00AD0B51"/>
    <w:rsid w:val="00AD134D"/>
    <w:rsid w:val="00AD1677"/>
    <w:rsid w:val="00AD1D2C"/>
    <w:rsid w:val="00AD27AA"/>
    <w:rsid w:val="00AD2B80"/>
    <w:rsid w:val="00AD32C8"/>
    <w:rsid w:val="00AD3753"/>
    <w:rsid w:val="00AD3777"/>
    <w:rsid w:val="00AD4793"/>
    <w:rsid w:val="00AD4AF8"/>
    <w:rsid w:val="00AD4BB7"/>
    <w:rsid w:val="00AD722D"/>
    <w:rsid w:val="00AD7924"/>
    <w:rsid w:val="00AD7BE6"/>
    <w:rsid w:val="00AE06A8"/>
    <w:rsid w:val="00AE14CD"/>
    <w:rsid w:val="00AE16E9"/>
    <w:rsid w:val="00AE238D"/>
    <w:rsid w:val="00AE2ADB"/>
    <w:rsid w:val="00AE2C0B"/>
    <w:rsid w:val="00AE5284"/>
    <w:rsid w:val="00AE5622"/>
    <w:rsid w:val="00AE58C5"/>
    <w:rsid w:val="00AE5DBA"/>
    <w:rsid w:val="00AE62CA"/>
    <w:rsid w:val="00AE7958"/>
    <w:rsid w:val="00AE79C0"/>
    <w:rsid w:val="00AF04AB"/>
    <w:rsid w:val="00AF1703"/>
    <w:rsid w:val="00AF21D5"/>
    <w:rsid w:val="00AF2F17"/>
    <w:rsid w:val="00AF2F3A"/>
    <w:rsid w:val="00AF49FD"/>
    <w:rsid w:val="00AF4EC3"/>
    <w:rsid w:val="00AF523B"/>
    <w:rsid w:val="00AF5748"/>
    <w:rsid w:val="00AF58D2"/>
    <w:rsid w:val="00AF6C30"/>
    <w:rsid w:val="00AF6D89"/>
    <w:rsid w:val="00AF7122"/>
    <w:rsid w:val="00AF77B7"/>
    <w:rsid w:val="00AF7913"/>
    <w:rsid w:val="00AF7DC3"/>
    <w:rsid w:val="00B01AFA"/>
    <w:rsid w:val="00B021EB"/>
    <w:rsid w:val="00B0263A"/>
    <w:rsid w:val="00B0265F"/>
    <w:rsid w:val="00B0380E"/>
    <w:rsid w:val="00B03881"/>
    <w:rsid w:val="00B04D54"/>
    <w:rsid w:val="00B04F99"/>
    <w:rsid w:val="00B05186"/>
    <w:rsid w:val="00B05481"/>
    <w:rsid w:val="00B06FFA"/>
    <w:rsid w:val="00B07937"/>
    <w:rsid w:val="00B07DAD"/>
    <w:rsid w:val="00B1065A"/>
    <w:rsid w:val="00B11662"/>
    <w:rsid w:val="00B116C7"/>
    <w:rsid w:val="00B11AE8"/>
    <w:rsid w:val="00B11DA7"/>
    <w:rsid w:val="00B120B0"/>
    <w:rsid w:val="00B1235D"/>
    <w:rsid w:val="00B125FF"/>
    <w:rsid w:val="00B12762"/>
    <w:rsid w:val="00B12DEB"/>
    <w:rsid w:val="00B12F1E"/>
    <w:rsid w:val="00B12F50"/>
    <w:rsid w:val="00B13291"/>
    <w:rsid w:val="00B1341D"/>
    <w:rsid w:val="00B14117"/>
    <w:rsid w:val="00B142F4"/>
    <w:rsid w:val="00B144D6"/>
    <w:rsid w:val="00B1598D"/>
    <w:rsid w:val="00B1648A"/>
    <w:rsid w:val="00B16FA4"/>
    <w:rsid w:val="00B17120"/>
    <w:rsid w:val="00B17316"/>
    <w:rsid w:val="00B17B9A"/>
    <w:rsid w:val="00B17E50"/>
    <w:rsid w:val="00B205D8"/>
    <w:rsid w:val="00B214C0"/>
    <w:rsid w:val="00B21EE1"/>
    <w:rsid w:val="00B2290A"/>
    <w:rsid w:val="00B229C3"/>
    <w:rsid w:val="00B22C15"/>
    <w:rsid w:val="00B2315F"/>
    <w:rsid w:val="00B231CA"/>
    <w:rsid w:val="00B2337A"/>
    <w:rsid w:val="00B23439"/>
    <w:rsid w:val="00B237FF"/>
    <w:rsid w:val="00B252D6"/>
    <w:rsid w:val="00B25625"/>
    <w:rsid w:val="00B25C0E"/>
    <w:rsid w:val="00B265C1"/>
    <w:rsid w:val="00B2681F"/>
    <w:rsid w:val="00B27160"/>
    <w:rsid w:val="00B27BE2"/>
    <w:rsid w:val="00B3096E"/>
    <w:rsid w:val="00B30EE3"/>
    <w:rsid w:val="00B3109E"/>
    <w:rsid w:val="00B319DB"/>
    <w:rsid w:val="00B321A7"/>
    <w:rsid w:val="00B329AE"/>
    <w:rsid w:val="00B32F97"/>
    <w:rsid w:val="00B332AD"/>
    <w:rsid w:val="00B3354E"/>
    <w:rsid w:val="00B34B34"/>
    <w:rsid w:val="00B3620A"/>
    <w:rsid w:val="00B36457"/>
    <w:rsid w:val="00B3655B"/>
    <w:rsid w:val="00B370F2"/>
    <w:rsid w:val="00B37519"/>
    <w:rsid w:val="00B37AAA"/>
    <w:rsid w:val="00B40A45"/>
    <w:rsid w:val="00B40FC2"/>
    <w:rsid w:val="00B40FE4"/>
    <w:rsid w:val="00B420A7"/>
    <w:rsid w:val="00B42DE6"/>
    <w:rsid w:val="00B42F55"/>
    <w:rsid w:val="00B4358A"/>
    <w:rsid w:val="00B43627"/>
    <w:rsid w:val="00B43680"/>
    <w:rsid w:val="00B43746"/>
    <w:rsid w:val="00B43956"/>
    <w:rsid w:val="00B442AE"/>
    <w:rsid w:val="00B44325"/>
    <w:rsid w:val="00B448B8"/>
    <w:rsid w:val="00B4645E"/>
    <w:rsid w:val="00B46CDC"/>
    <w:rsid w:val="00B46DCA"/>
    <w:rsid w:val="00B475A4"/>
    <w:rsid w:val="00B52340"/>
    <w:rsid w:val="00B5274A"/>
    <w:rsid w:val="00B52CDB"/>
    <w:rsid w:val="00B52E93"/>
    <w:rsid w:val="00B539A5"/>
    <w:rsid w:val="00B53B01"/>
    <w:rsid w:val="00B54701"/>
    <w:rsid w:val="00B561AC"/>
    <w:rsid w:val="00B5667F"/>
    <w:rsid w:val="00B571E1"/>
    <w:rsid w:val="00B576C2"/>
    <w:rsid w:val="00B608E4"/>
    <w:rsid w:val="00B62420"/>
    <w:rsid w:val="00B63240"/>
    <w:rsid w:val="00B644DD"/>
    <w:rsid w:val="00B64F40"/>
    <w:rsid w:val="00B65655"/>
    <w:rsid w:val="00B65D94"/>
    <w:rsid w:val="00B66322"/>
    <w:rsid w:val="00B665F5"/>
    <w:rsid w:val="00B66611"/>
    <w:rsid w:val="00B667DB"/>
    <w:rsid w:val="00B669FA"/>
    <w:rsid w:val="00B67AAC"/>
    <w:rsid w:val="00B702C9"/>
    <w:rsid w:val="00B70B5E"/>
    <w:rsid w:val="00B71395"/>
    <w:rsid w:val="00B717D4"/>
    <w:rsid w:val="00B71B49"/>
    <w:rsid w:val="00B71C85"/>
    <w:rsid w:val="00B72312"/>
    <w:rsid w:val="00B72BF2"/>
    <w:rsid w:val="00B72DA8"/>
    <w:rsid w:val="00B72F21"/>
    <w:rsid w:val="00B737F4"/>
    <w:rsid w:val="00B74281"/>
    <w:rsid w:val="00B74A8A"/>
    <w:rsid w:val="00B74E21"/>
    <w:rsid w:val="00B75994"/>
    <w:rsid w:val="00B75D34"/>
    <w:rsid w:val="00B75D92"/>
    <w:rsid w:val="00B75DBC"/>
    <w:rsid w:val="00B76191"/>
    <w:rsid w:val="00B764CF"/>
    <w:rsid w:val="00B7684D"/>
    <w:rsid w:val="00B76D1C"/>
    <w:rsid w:val="00B77451"/>
    <w:rsid w:val="00B77468"/>
    <w:rsid w:val="00B777FF"/>
    <w:rsid w:val="00B808BF"/>
    <w:rsid w:val="00B82339"/>
    <w:rsid w:val="00B82422"/>
    <w:rsid w:val="00B824A0"/>
    <w:rsid w:val="00B82A1C"/>
    <w:rsid w:val="00B82B4E"/>
    <w:rsid w:val="00B8364A"/>
    <w:rsid w:val="00B837A2"/>
    <w:rsid w:val="00B838F7"/>
    <w:rsid w:val="00B8394C"/>
    <w:rsid w:val="00B83CF1"/>
    <w:rsid w:val="00B849BA"/>
    <w:rsid w:val="00B84CE6"/>
    <w:rsid w:val="00B84D27"/>
    <w:rsid w:val="00B8505A"/>
    <w:rsid w:val="00B85828"/>
    <w:rsid w:val="00B85D03"/>
    <w:rsid w:val="00B85DD0"/>
    <w:rsid w:val="00B85EFC"/>
    <w:rsid w:val="00B860B1"/>
    <w:rsid w:val="00B863D1"/>
    <w:rsid w:val="00B870CC"/>
    <w:rsid w:val="00B871D1"/>
    <w:rsid w:val="00B87952"/>
    <w:rsid w:val="00B87E70"/>
    <w:rsid w:val="00B900B1"/>
    <w:rsid w:val="00B90133"/>
    <w:rsid w:val="00B912F8"/>
    <w:rsid w:val="00B91CE5"/>
    <w:rsid w:val="00B924B1"/>
    <w:rsid w:val="00B92780"/>
    <w:rsid w:val="00B92DE7"/>
    <w:rsid w:val="00B935C7"/>
    <w:rsid w:val="00B93794"/>
    <w:rsid w:val="00B94569"/>
    <w:rsid w:val="00B94943"/>
    <w:rsid w:val="00B94B51"/>
    <w:rsid w:val="00B94E3E"/>
    <w:rsid w:val="00B9503E"/>
    <w:rsid w:val="00B95405"/>
    <w:rsid w:val="00B9736C"/>
    <w:rsid w:val="00BA00A0"/>
    <w:rsid w:val="00BA04C5"/>
    <w:rsid w:val="00BA07DD"/>
    <w:rsid w:val="00BA083A"/>
    <w:rsid w:val="00BA09CA"/>
    <w:rsid w:val="00BA11CD"/>
    <w:rsid w:val="00BA14F8"/>
    <w:rsid w:val="00BA1A4C"/>
    <w:rsid w:val="00BA1E33"/>
    <w:rsid w:val="00BA37EA"/>
    <w:rsid w:val="00BA44C6"/>
    <w:rsid w:val="00BA4A6E"/>
    <w:rsid w:val="00BA4DB2"/>
    <w:rsid w:val="00BA59E5"/>
    <w:rsid w:val="00BA64C9"/>
    <w:rsid w:val="00BA6507"/>
    <w:rsid w:val="00BA72AF"/>
    <w:rsid w:val="00BA72BA"/>
    <w:rsid w:val="00BA73C8"/>
    <w:rsid w:val="00BA7736"/>
    <w:rsid w:val="00BB12A3"/>
    <w:rsid w:val="00BB1BAE"/>
    <w:rsid w:val="00BB4028"/>
    <w:rsid w:val="00BB41FF"/>
    <w:rsid w:val="00BB454C"/>
    <w:rsid w:val="00BB46D2"/>
    <w:rsid w:val="00BB4BB1"/>
    <w:rsid w:val="00BB4CFD"/>
    <w:rsid w:val="00BB60DF"/>
    <w:rsid w:val="00BB62AD"/>
    <w:rsid w:val="00BB630E"/>
    <w:rsid w:val="00BB665C"/>
    <w:rsid w:val="00BB7011"/>
    <w:rsid w:val="00BB77EF"/>
    <w:rsid w:val="00BB7A6C"/>
    <w:rsid w:val="00BC058D"/>
    <w:rsid w:val="00BC089A"/>
    <w:rsid w:val="00BC10B1"/>
    <w:rsid w:val="00BC1997"/>
    <w:rsid w:val="00BC2456"/>
    <w:rsid w:val="00BC30B0"/>
    <w:rsid w:val="00BC3423"/>
    <w:rsid w:val="00BC3A0E"/>
    <w:rsid w:val="00BC435A"/>
    <w:rsid w:val="00BC51A3"/>
    <w:rsid w:val="00BC54BE"/>
    <w:rsid w:val="00BC5867"/>
    <w:rsid w:val="00BC6EAF"/>
    <w:rsid w:val="00BC7B87"/>
    <w:rsid w:val="00BC7CF0"/>
    <w:rsid w:val="00BD0186"/>
    <w:rsid w:val="00BD0D6C"/>
    <w:rsid w:val="00BD0E2D"/>
    <w:rsid w:val="00BD1039"/>
    <w:rsid w:val="00BD1A80"/>
    <w:rsid w:val="00BD204B"/>
    <w:rsid w:val="00BD27E7"/>
    <w:rsid w:val="00BD2D72"/>
    <w:rsid w:val="00BD34E8"/>
    <w:rsid w:val="00BD3779"/>
    <w:rsid w:val="00BD416A"/>
    <w:rsid w:val="00BD44F4"/>
    <w:rsid w:val="00BD4732"/>
    <w:rsid w:val="00BD4F57"/>
    <w:rsid w:val="00BD54C8"/>
    <w:rsid w:val="00BD579B"/>
    <w:rsid w:val="00BD5B5B"/>
    <w:rsid w:val="00BD5F11"/>
    <w:rsid w:val="00BD5FA5"/>
    <w:rsid w:val="00BD60A3"/>
    <w:rsid w:val="00BD7733"/>
    <w:rsid w:val="00BE0BAA"/>
    <w:rsid w:val="00BE0EB8"/>
    <w:rsid w:val="00BE4A4B"/>
    <w:rsid w:val="00BE5946"/>
    <w:rsid w:val="00BE5983"/>
    <w:rsid w:val="00BE7B22"/>
    <w:rsid w:val="00BF0149"/>
    <w:rsid w:val="00BF1045"/>
    <w:rsid w:val="00BF136F"/>
    <w:rsid w:val="00BF2309"/>
    <w:rsid w:val="00BF2ACA"/>
    <w:rsid w:val="00BF2F5E"/>
    <w:rsid w:val="00BF2F8E"/>
    <w:rsid w:val="00BF3AF3"/>
    <w:rsid w:val="00BF3D52"/>
    <w:rsid w:val="00BF3DE0"/>
    <w:rsid w:val="00BF46F1"/>
    <w:rsid w:val="00BF4CE7"/>
    <w:rsid w:val="00BF4F01"/>
    <w:rsid w:val="00BF5D18"/>
    <w:rsid w:val="00BF5F1D"/>
    <w:rsid w:val="00BF66AC"/>
    <w:rsid w:val="00C008B6"/>
    <w:rsid w:val="00C008EE"/>
    <w:rsid w:val="00C00A3B"/>
    <w:rsid w:val="00C00B41"/>
    <w:rsid w:val="00C01D99"/>
    <w:rsid w:val="00C02115"/>
    <w:rsid w:val="00C02138"/>
    <w:rsid w:val="00C028C3"/>
    <w:rsid w:val="00C028D8"/>
    <w:rsid w:val="00C02B76"/>
    <w:rsid w:val="00C02D1E"/>
    <w:rsid w:val="00C0338C"/>
    <w:rsid w:val="00C0339B"/>
    <w:rsid w:val="00C038C6"/>
    <w:rsid w:val="00C03CBE"/>
    <w:rsid w:val="00C03D61"/>
    <w:rsid w:val="00C04609"/>
    <w:rsid w:val="00C04E16"/>
    <w:rsid w:val="00C069DA"/>
    <w:rsid w:val="00C06B67"/>
    <w:rsid w:val="00C07905"/>
    <w:rsid w:val="00C1068D"/>
    <w:rsid w:val="00C10D51"/>
    <w:rsid w:val="00C10D74"/>
    <w:rsid w:val="00C1139F"/>
    <w:rsid w:val="00C11565"/>
    <w:rsid w:val="00C11A3D"/>
    <w:rsid w:val="00C12894"/>
    <w:rsid w:val="00C1314E"/>
    <w:rsid w:val="00C13427"/>
    <w:rsid w:val="00C14042"/>
    <w:rsid w:val="00C14092"/>
    <w:rsid w:val="00C14243"/>
    <w:rsid w:val="00C14504"/>
    <w:rsid w:val="00C147D7"/>
    <w:rsid w:val="00C15121"/>
    <w:rsid w:val="00C157D6"/>
    <w:rsid w:val="00C166A7"/>
    <w:rsid w:val="00C177B0"/>
    <w:rsid w:val="00C177DF"/>
    <w:rsid w:val="00C200C8"/>
    <w:rsid w:val="00C20B27"/>
    <w:rsid w:val="00C210D2"/>
    <w:rsid w:val="00C21C03"/>
    <w:rsid w:val="00C228AA"/>
    <w:rsid w:val="00C22C77"/>
    <w:rsid w:val="00C22E89"/>
    <w:rsid w:val="00C23401"/>
    <w:rsid w:val="00C23CE9"/>
    <w:rsid w:val="00C23E8B"/>
    <w:rsid w:val="00C24034"/>
    <w:rsid w:val="00C25277"/>
    <w:rsid w:val="00C252C6"/>
    <w:rsid w:val="00C255EC"/>
    <w:rsid w:val="00C259CD"/>
    <w:rsid w:val="00C262CE"/>
    <w:rsid w:val="00C2654A"/>
    <w:rsid w:val="00C27148"/>
    <w:rsid w:val="00C27A10"/>
    <w:rsid w:val="00C30CB3"/>
    <w:rsid w:val="00C3133C"/>
    <w:rsid w:val="00C318FE"/>
    <w:rsid w:val="00C3374F"/>
    <w:rsid w:val="00C33E40"/>
    <w:rsid w:val="00C33F04"/>
    <w:rsid w:val="00C34581"/>
    <w:rsid w:val="00C34BAB"/>
    <w:rsid w:val="00C34BD0"/>
    <w:rsid w:val="00C34E57"/>
    <w:rsid w:val="00C35C4B"/>
    <w:rsid w:val="00C363B9"/>
    <w:rsid w:val="00C364C3"/>
    <w:rsid w:val="00C36AF2"/>
    <w:rsid w:val="00C40D17"/>
    <w:rsid w:val="00C41177"/>
    <w:rsid w:val="00C417C1"/>
    <w:rsid w:val="00C419AC"/>
    <w:rsid w:val="00C41C1B"/>
    <w:rsid w:val="00C4201E"/>
    <w:rsid w:val="00C42B9D"/>
    <w:rsid w:val="00C42DAC"/>
    <w:rsid w:val="00C431D3"/>
    <w:rsid w:val="00C4322E"/>
    <w:rsid w:val="00C434F4"/>
    <w:rsid w:val="00C44A51"/>
    <w:rsid w:val="00C44B08"/>
    <w:rsid w:val="00C44FC9"/>
    <w:rsid w:val="00C45405"/>
    <w:rsid w:val="00C45657"/>
    <w:rsid w:val="00C45741"/>
    <w:rsid w:val="00C4592B"/>
    <w:rsid w:val="00C45B55"/>
    <w:rsid w:val="00C46F7D"/>
    <w:rsid w:val="00C47213"/>
    <w:rsid w:val="00C472EC"/>
    <w:rsid w:val="00C5039B"/>
    <w:rsid w:val="00C50B76"/>
    <w:rsid w:val="00C518B8"/>
    <w:rsid w:val="00C5237D"/>
    <w:rsid w:val="00C527DC"/>
    <w:rsid w:val="00C52AE3"/>
    <w:rsid w:val="00C5429C"/>
    <w:rsid w:val="00C54F35"/>
    <w:rsid w:val="00C55FFC"/>
    <w:rsid w:val="00C57108"/>
    <w:rsid w:val="00C57354"/>
    <w:rsid w:val="00C57835"/>
    <w:rsid w:val="00C57BEB"/>
    <w:rsid w:val="00C60448"/>
    <w:rsid w:val="00C625E7"/>
    <w:rsid w:val="00C62AAE"/>
    <w:rsid w:val="00C63226"/>
    <w:rsid w:val="00C63279"/>
    <w:rsid w:val="00C6332C"/>
    <w:rsid w:val="00C63635"/>
    <w:rsid w:val="00C63C97"/>
    <w:rsid w:val="00C646B9"/>
    <w:rsid w:val="00C64CC5"/>
    <w:rsid w:val="00C652EE"/>
    <w:rsid w:val="00C658B0"/>
    <w:rsid w:val="00C668A0"/>
    <w:rsid w:val="00C6690D"/>
    <w:rsid w:val="00C66E8F"/>
    <w:rsid w:val="00C67116"/>
    <w:rsid w:val="00C67631"/>
    <w:rsid w:val="00C67A71"/>
    <w:rsid w:val="00C7149B"/>
    <w:rsid w:val="00C71CCD"/>
    <w:rsid w:val="00C7208E"/>
    <w:rsid w:val="00C72821"/>
    <w:rsid w:val="00C72DC4"/>
    <w:rsid w:val="00C7332F"/>
    <w:rsid w:val="00C73877"/>
    <w:rsid w:val="00C73AD9"/>
    <w:rsid w:val="00C73CEC"/>
    <w:rsid w:val="00C7477A"/>
    <w:rsid w:val="00C7589F"/>
    <w:rsid w:val="00C7653F"/>
    <w:rsid w:val="00C76B84"/>
    <w:rsid w:val="00C7734F"/>
    <w:rsid w:val="00C80478"/>
    <w:rsid w:val="00C80B8E"/>
    <w:rsid w:val="00C81317"/>
    <w:rsid w:val="00C81E93"/>
    <w:rsid w:val="00C822A6"/>
    <w:rsid w:val="00C82D1C"/>
    <w:rsid w:val="00C8321D"/>
    <w:rsid w:val="00C83E06"/>
    <w:rsid w:val="00C8422A"/>
    <w:rsid w:val="00C84BCB"/>
    <w:rsid w:val="00C852C4"/>
    <w:rsid w:val="00C855C2"/>
    <w:rsid w:val="00C8673F"/>
    <w:rsid w:val="00C87FAB"/>
    <w:rsid w:val="00C909E3"/>
    <w:rsid w:val="00C90FBF"/>
    <w:rsid w:val="00C91A2A"/>
    <w:rsid w:val="00C9233E"/>
    <w:rsid w:val="00C92B97"/>
    <w:rsid w:val="00C92C6C"/>
    <w:rsid w:val="00C933CD"/>
    <w:rsid w:val="00C95081"/>
    <w:rsid w:val="00C95439"/>
    <w:rsid w:val="00C95BD1"/>
    <w:rsid w:val="00C97448"/>
    <w:rsid w:val="00C97548"/>
    <w:rsid w:val="00CA05D5"/>
    <w:rsid w:val="00CA06A4"/>
    <w:rsid w:val="00CA2E10"/>
    <w:rsid w:val="00CA31A2"/>
    <w:rsid w:val="00CA322A"/>
    <w:rsid w:val="00CA3398"/>
    <w:rsid w:val="00CA3A9A"/>
    <w:rsid w:val="00CA4758"/>
    <w:rsid w:val="00CA4F8C"/>
    <w:rsid w:val="00CA5FC6"/>
    <w:rsid w:val="00CA743D"/>
    <w:rsid w:val="00CA7451"/>
    <w:rsid w:val="00CA76DD"/>
    <w:rsid w:val="00CA78C8"/>
    <w:rsid w:val="00CA7B31"/>
    <w:rsid w:val="00CA7E34"/>
    <w:rsid w:val="00CB0261"/>
    <w:rsid w:val="00CB041D"/>
    <w:rsid w:val="00CB0763"/>
    <w:rsid w:val="00CB07B7"/>
    <w:rsid w:val="00CB07DA"/>
    <w:rsid w:val="00CB08B2"/>
    <w:rsid w:val="00CB0F5E"/>
    <w:rsid w:val="00CB2239"/>
    <w:rsid w:val="00CB27C8"/>
    <w:rsid w:val="00CB3541"/>
    <w:rsid w:val="00CB3DF4"/>
    <w:rsid w:val="00CB3E7A"/>
    <w:rsid w:val="00CB5076"/>
    <w:rsid w:val="00CB50FB"/>
    <w:rsid w:val="00CB51D8"/>
    <w:rsid w:val="00CB525A"/>
    <w:rsid w:val="00CB531B"/>
    <w:rsid w:val="00CB5829"/>
    <w:rsid w:val="00CB5F68"/>
    <w:rsid w:val="00CB6632"/>
    <w:rsid w:val="00CB6D96"/>
    <w:rsid w:val="00CB7AA2"/>
    <w:rsid w:val="00CC001F"/>
    <w:rsid w:val="00CC014B"/>
    <w:rsid w:val="00CC3F5D"/>
    <w:rsid w:val="00CC4301"/>
    <w:rsid w:val="00CC4335"/>
    <w:rsid w:val="00CC454D"/>
    <w:rsid w:val="00CC48D6"/>
    <w:rsid w:val="00CC4AE9"/>
    <w:rsid w:val="00CC73B0"/>
    <w:rsid w:val="00CC7420"/>
    <w:rsid w:val="00CC7F42"/>
    <w:rsid w:val="00CD0122"/>
    <w:rsid w:val="00CD0250"/>
    <w:rsid w:val="00CD0367"/>
    <w:rsid w:val="00CD0883"/>
    <w:rsid w:val="00CD34AD"/>
    <w:rsid w:val="00CD3598"/>
    <w:rsid w:val="00CD35E9"/>
    <w:rsid w:val="00CD3AEE"/>
    <w:rsid w:val="00CD3B00"/>
    <w:rsid w:val="00CD44F0"/>
    <w:rsid w:val="00CD4AC2"/>
    <w:rsid w:val="00CD512E"/>
    <w:rsid w:val="00CD529D"/>
    <w:rsid w:val="00CD641F"/>
    <w:rsid w:val="00CD660B"/>
    <w:rsid w:val="00CD662F"/>
    <w:rsid w:val="00CD6BCE"/>
    <w:rsid w:val="00CD799B"/>
    <w:rsid w:val="00CD7B6D"/>
    <w:rsid w:val="00CE0201"/>
    <w:rsid w:val="00CE036D"/>
    <w:rsid w:val="00CE04C8"/>
    <w:rsid w:val="00CE05C7"/>
    <w:rsid w:val="00CE0D53"/>
    <w:rsid w:val="00CE102A"/>
    <w:rsid w:val="00CE16AA"/>
    <w:rsid w:val="00CE1EE4"/>
    <w:rsid w:val="00CE242F"/>
    <w:rsid w:val="00CE25FA"/>
    <w:rsid w:val="00CE26A1"/>
    <w:rsid w:val="00CE3CB5"/>
    <w:rsid w:val="00CE4AF2"/>
    <w:rsid w:val="00CE4E51"/>
    <w:rsid w:val="00CE5078"/>
    <w:rsid w:val="00CE565C"/>
    <w:rsid w:val="00CE5770"/>
    <w:rsid w:val="00CE649E"/>
    <w:rsid w:val="00CE66C5"/>
    <w:rsid w:val="00CE7009"/>
    <w:rsid w:val="00CE799B"/>
    <w:rsid w:val="00CE7E24"/>
    <w:rsid w:val="00CF1024"/>
    <w:rsid w:val="00CF13F0"/>
    <w:rsid w:val="00CF14AB"/>
    <w:rsid w:val="00CF1B40"/>
    <w:rsid w:val="00CF1BE6"/>
    <w:rsid w:val="00CF20B2"/>
    <w:rsid w:val="00CF28CE"/>
    <w:rsid w:val="00CF42B3"/>
    <w:rsid w:val="00CF4AE9"/>
    <w:rsid w:val="00CF4CCA"/>
    <w:rsid w:val="00CF5100"/>
    <w:rsid w:val="00CF58F1"/>
    <w:rsid w:val="00CF5963"/>
    <w:rsid w:val="00CF625E"/>
    <w:rsid w:val="00CF663D"/>
    <w:rsid w:val="00CF6C5C"/>
    <w:rsid w:val="00CF6DF1"/>
    <w:rsid w:val="00CF7977"/>
    <w:rsid w:val="00CF7E0F"/>
    <w:rsid w:val="00D02051"/>
    <w:rsid w:val="00D021D0"/>
    <w:rsid w:val="00D02D78"/>
    <w:rsid w:val="00D0319C"/>
    <w:rsid w:val="00D0385E"/>
    <w:rsid w:val="00D039EC"/>
    <w:rsid w:val="00D03BB4"/>
    <w:rsid w:val="00D04222"/>
    <w:rsid w:val="00D053A0"/>
    <w:rsid w:val="00D05C69"/>
    <w:rsid w:val="00D05CBE"/>
    <w:rsid w:val="00D060EC"/>
    <w:rsid w:val="00D10368"/>
    <w:rsid w:val="00D10530"/>
    <w:rsid w:val="00D117CF"/>
    <w:rsid w:val="00D11C15"/>
    <w:rsid w:val="00D12BFC"/>
    <w:rsid w:val="00D12F21"/>
    <w:rsid w:val="00D1455A"/>
    <w:rsid w:val="00D1466F"/>
    <w:rsid w:val="00D15835"/>
    <w:rsid w:val="00D1602F"/>
    <w:rsid w:val="00D16668"/>
    <w:rsid w:val="00D17121"/>
    <w:rsid w:val="00D17CAD"/>
    <w:rsid w:val="00D17D2E"/>
    <w:rsid w:val="00D2362D"/>
    <w:rsid w:val="00D236DE"/>
    <w:rsid w:val="00D23AD5"/>
    <w:rsid w:val="00D23DE8"/>
    <w:rsid w:val="00D2429C"/>
    <w:rsid w:val="00D2532D"/>
    <w:rsid w:val="00D26F63"/>
    <w:rsid w:val="00D276E0"/>
    <w:rsid w:val="00D30046"/>
    <w:rsid w:val="00D300E7"/>
    <w:rsid w:val="00D303DB"/>
    <w:rsid w:val="00D31FF1"/>
    <w:rsid w:val="00D32E1B"/>
    <w:rsid w:val="00D33E2C"/>
    <w:rsid w:val="00D35213"/>
    <w:rsid w:val="00D361A2"/>
    <w:rsid w:val="00D368BD"/>
    <w:rsid w:val="00D37682"/>
    <w:rsid w:val="00D401B8"/>
    <w:rsid w:val="00D405C6"/>
    <w:rsid w:val="00D40813"/>
    <w:rsid w:val="00D41006"/>
    <w:rsid w:val="00D417E0"/>
    <w:rsid w:val="00D41A89"/>
    <w:rsid w:val="00D421D2"/>
    <w:rsid w:val="00D430AF"/>
    <w:rsid w:val="00D43FEA"/>
    <w:rsid w:val="00D4401F"/>
    <w:rsid w:val="00D440D0"/>
    <w:rsid w:val="00D443CC"/>
    <w:rsid w:val="00D44A02"/>
    <w:rsid w:val="00D44B8E"/>
    <w:rsid w:val="00D44D0C"/>
    <w:rsid w:val="00D45B81"/>
    <w:rsid w:val="00D471B7"/>
    <w:rsid w:val="00D473B0"/>
    <w:rsid w:val="00D47538"/>
    <w:rsid w:val="00D50385"/>
    <w:rsid w:val="00D50ABB"/>
    <w:rsid w:val="00D51B84"/>
    <w:rsid w:val="00D52C3E"/>
    <w:rsid w:val="00D52CFA"/>
    <w:rsid w:val="00D53007"/>
    <w:rsid w:val="00D5441C"/>
    <w:rsid w:val="00D54CB5"/>
    <w:rsid w:val="00D554A3"/>
    <w:rsid w:val="00D55636"/>
    <w:rsid w:val="00D55B35"/>
    <w:rsid w:val="00D5782A"/>
    <w:rsid w:val="00D57BE7"/>
    <w:rsid w:val="00D57C58"/>
    <w:rsid w:val="00D60788"/>
    <w:rsid w:val="00D609A9"/>
    <w:rsid w:val="00D60ADA"/>
    <w:rsid w:val="00D60C18"/>
    <w:rsid w:val="00D6141D"/>
    <w:rsid w:val="00D61EA4"/>
    <w:rsid w:val="00D62584"/>
    <w:rsid w:val="00D62B30"/>
    <w:rsid w:val="00D63332"/>
    <w:rsid w:val="00D6379A"/>
    <w:rsid w:val="00D639D6"/>
    <w:rsid w:val="00D649BF"/>
    <w:rsid w:val="00D65029"/>
    <w:rsid w:val="00D651B4"/>
    <w:rsid w:val="00D654E1"/>
    <w:rsid w:val="00D657D6"/>
    <w:rsid w:val="00D65E2E"/>
    <w:rsid w:val="00D662FD"/>
    <w:rsid w:val="00D668A0"/>
    <w:rsid w:val="00D66E38"/>
    <w:rsid w:val="00D67A14"/>
    <w:rsid w:val="00D67CAD"/>
    <w:rsid w:val="00D70521"/>
    <w:rsid w:val="00D70783"/>
    <w:rsid w:val="00D70D04"/>
    <w:rsid w:val="00D722E0"/>
    <w:rsid w:val="00D72EB6"/>
    <w:rsid w:val="00D73743"/>
    <w:rsid w:val="00D746A7"/>
    <w:rsid w:val="00D7473E"/>
    <w:rsid w:val="00D74CFA"/>
    <w:rsid w:val="00D74FA9"/>
    <w:rsid w:val="00D75BD8"/>
    <w:rsid w:val="00D75EEE"/>
    <w:rsid w:val="00D76476"/>
    <w:rsid w:val="00D76779"/>
    <w:rsid w:val="00D77329"/>
    <w:rsid w:val="00D82950"/>
    <w:rsid w:val="00D83A6A"/>
    <w:rsid w:val="00D85326"/>
    <w:rsid w:val="00D86963"/>
    <w:rsid w:val="00D86C91"/>
    <w:rsid w:val="00D8752B"/>
    <w:rsid w:val="00D90B37"/>
    <w:rsid w:val="00D90ED6"/>
    <w:rsid w:val="00D91190"/>
    <w:rsid w:val="00D91F21"/>
    <w:rsid w:val="00D92156"/>
    <w:rsid w:val="00D9215C"/>
    <w:rsid w:val="00D92CB7"/>
    <w:rsid w:val="00D9335D"/>
    <w:rsid w:val="00D93A15"/>
    <w:rsid w:val="00D9407B"/>
    <w:rsid w:val="00D945EF"/>
    <w:rsid w:val="00D94C41"/>
    <w:rsid w:val="00D9585A"/>
    <w:rsid w:val="00D95BD3"/>
    <w:rsid w:val="00D95D04"/>
    <w:rsid w:val="00D96697"/>
    <w:rsid w:val="00D96B0F"/>
    <w:rsid w:val="00D96EDF"/>
    <w:rsid w:val="00D97F81"/>
    <w:rsid w:val="00DA0CFD"/>
    <w:rsid w:val="00DA2C73"/>
    <w:rsid w:val="00DA2CBF"/>
    <w:rsid w:val="00DA3EE7"/>
    <w:rsid w:val="00DA5122"/>
    <w:rsid w:val="00DA6551"/>
    <w:rsid w:val="00DA657E"/>
    <w:rsid w:val="00DA688A"/>
    <w:rsid w:val="00DA69A6"/>
    <w:rsid w:val="00DA6D83"/>
    <w:rsid w:val="00DA6E90"/>
    <w:rsid w:val="00DB05A2"/>
    <w:rsid w:val="00DB095E"/>
    <w:rsid w:val="00DB0C08"/>
    <w:rsid w:val="00DB11B6"/>
    <w:rsid w:val="00DB1554"/>
    <w:rsid w:val="00DB16E3"/>
    <w:rsid w:val="00DB1ABC"/>
    <w:rsid w:val="00DB1AFB"/>
    <w:rsid w:val="00DB1DB9"/>
    <w:rsid w:val="00DB3508"/>
    <w:rsid w:val="00DB37D7"/>
    <w:rsid w:val="00DB3AD3"/>
    <w:rsid w:val="00DB45F2"/>
    <w:rsid w:val="00DB4775"/>
    <w:rsid w:val="00DB5473"/>
    <w:rsid w:val="00DB563B"/>
    <w:rsid w:val="00DB66DA"/>
    <w:rsid w:val="00DB7467"/>
    <w:rsid w:val="00DB7D46"/>
    <w:rsid w:val="00DC09F5"/>
    <w:rsid w:val="00DC3058"/>
    <w:rsid w:val="00DC39FF"/>
    <w:rsid w:val="00DC3BC4"/>
    <w:rsid w:val="00DC5460"/>
    <w:rsid w:val="00DC5F21"/>
    <w:rsid w:val="00DC6DB3"/>
    <w:rsid w:val="00DC7EB2"/>
    <w:rsid w:val="00DD0E67"/>
    <w:rsid w:val="00DD143A"/>
    <w:rsid w:val="00DD16A9"/>
    <w:rsid w:val="00DD1864"/>
    <w:rsid w:val="00DD2B18"/>
    <w:rsid w:val="00DD399F"/>
    <w:rsid w:val="00DD3AA2"/>
    <w:rsid w:val="00DD49F2"/>
    <w:rsid w:val="00DD4AE2"/>
    <w:rsid w:val="00DD5217"/>
    <w:rsid w:val="00DD5ED2"/>
    <w:rsid w:val="00DD5ED4"/>
    <w:rsid w:val="00DD6CEE"/>
    <w:rsid w:val="00DD7842"/>
    <w:rsid w:val="00DE1026"/>
    <w:rsid w:val="00DE180E"/>
    <w:rsid w:val="00DE1B6B"/>
    <w:rsid w:val="00DE238B"/>
    <w:rsid w:val="00DE343B"/>
    <w:rsid w:val="00DE3BED"/>
    <w:rsid w:val="00DE3F44"/>
    <w:rsid w:val="00DE4363"/>
    <w:rsid w:val="00DE6798"/>
    <w:rsid w:val="00DE6AA6"/>
    <w:rsid w:val="00DE6F77"/>
    <w:rsid w:val="00DE7620"/>
    <w:rsid w:val="00DE78BC"/>
    <w:rsid w:val="00DE7B5E"/>
    <w:rsid w:val="00DF08CB"/>
    <w:rsid w:val="00DF0A9E"/>
    <w:rsid w:val="00DF0B10"/>
    <w:rsid w:val="00DF24C9"/>
    <w:rsid w:val="00DF33B3"/>
    <w:rsid w:val="00DF3603"/>
    <w:rsid w:val="00DF4021"/>
    <w:rsid w:val="00DF63BD"/>
    <w:rsid w:val="00DF6B1A"/>
    <w:rsid w:val="00DF7964"/>
    <w:rsid w:val="00E0008B"/>
    <w:rsid w:val="00E004B1"/>
    <w:rsid w:val="00E00796"/>
    <w:rsid w:val="00E0119C"/>
    <w:rsid w:val="00E016BA"/>
    <w:rsid w:val="00E01AC3"/>
    <w:rsid w:val="00E01B2D"/>
    <w:rsid w:val="00E029BC"/>
    <w:rsid w:val="00E0323E"/>
    <w:rsid w:val="00E0383B"/>
    <w:rsid w:val="00E03AFE"/>
    <w:rsid w:val="00E045EA"/>
    <w:rsid w:val="00E0491B"/>
    <w:rsid w:val="00E04DA8"/>
    <w:rsid w:val="00E04E50"/>
    <w:rsid w:val="00E05230"/>
    <w:rsid w:val="00E05D1A"/>
    <w:rsid w:val="00E06ACB"/>
    <w:rsid w:val="00E07B93"/>
    <w:rsid w:val="00E07CE0"/>
    <w:rsid w:val="00E118DB"/>
    <w:rsid w:val="00E11BA5"/>
    <w:rsid w:val="00E1380C"/>
    <w:rsid w:val="00E142C3"/>
    <w:rsid w:val="00E14805"/>
    <w:rsid w:val="00E14BA3"/>
    <w:rsid w:val="00E14F7C"/>
    <w:rsid w:val="00E14F7E"/>
    <w:rsid w:val="00E152C4"/>
    <w:rsid w:val="00E15CCD"/>
    <w:rsid w:val="00E16764"/>
    <w:rsid w:val="00E168EB"/>
    <w:rsid w:val="00E20035"/>
    <w:rsid w:val="00E2041F"/>
    <w:rsid w:val="00E21191"/>
    <w:rsid w:val="00E21561"/>
    <w:rsid w:val="00E215C7"/>
    <w:rsid w:val="00E22103"/>
    <w:rsid w:val="00E22403"/>
    <w:rsid w:val="00E2399B"/>
    <w:rsid w:val="00E23FAB"/>
    <w:rsid w:val="00E24A7A"/>
    <w:rsid w:val="00E25AA3"/>
    <w:rsid w:val="00E25C16"/>
    <w:rsid w:val="00E25E12"/>
    <w:rsid w:val="00E26B96"/>
    <w:rsid w:val="00E2704B"/>
    <w:rsid w:val="00E300C0"/>
    <w:rsid w:val="00E305C0"/>
    <w:rsid w:val="00E30BBA"/>
    <w:rsid w:val="00E31FF4"/>
    <w:rsid w:val="00E32596"/>
    <w:rsid w:val="00E328E0"/>
    <w:rsid w:val="00E34F8E"/>
    <w:rsid w:val="00E34FD0"/>
    <w:rsid w:val="00E358EB"/>
    <w:rsid w:val="00E36A82"/>
    <w:rsid w:val="00E40359"/>
    <w:rsid w:val="00E40394"/>
    <w:rsid w:val="00E40461"/>
    <w:rsid w:val="00E40536"/>
    <w:rsid w:val="00E40B94"/>
    <w:rsid w:val="00E40DDC"/>
    <w:rsid w:val="00E41EE6"/>
    <w:rsid w:val="00E4205A"/>
    <w:rsid w:val="00E422B7"/>
    <w:rsid w:val="00E42530"/>
    <w:rsid w:val="00E4296C"/>
    <w:rsid w:val="00E433F2"/>
    <w:rsid w:val="00E43425"/>
    <w:rsid w:val="00E44670"/>
    <w:rsid w:val="00E4491A"/>
    <w:rsid w:val="00E44BA7"/>
    <w:rsid w:val="00E45236"/>
    <w:rsid w:val="00E4606D"/>
    <w:rsid w:val="00E46095"/>
    <w:rsid w:val="00E46EAC"/>
    <w:rsid w:val="00E50D7E"/>
    <w:rsid w:val="00E51418"/>
    <w:rsid w:val="00E51A05"/>
    <w:rsid w:val="00E51FE9"/>
    <w:rsid w:val="00E520B9"/>
    <w:rsid w:val="00E5348E"/>
    <w:rsid w:val="00E535DD"/>
    <w:rsid w:val="00E53D0F"/>
    <w:rsid w:val="00E55DDE"/>
    <w:rsid w:val="00E56049"/>
    <w:rsid w:val="00E570CD"/>
    <w:rsid w:val="00E5716E"/>
    <w:rsid w:val="00E57B28"/>
    <w:rsid w:val="00E57EB2"/>
    <w:rsid w:val="00E60857"/>
    <w:rsid w:val="00E608C6"/>
    <w:rsid w:val="00E6111D"/>
    <w:rsid w:val="00E61A0D"/>
    <w:rsid w:val="00E61C90"/>
    <w:rsid w:val="00E62144"/>
    <w:rsid w:val="00E62482"/>
    <w:rsid w:val="00E6294E"/>
    <w:rsid w:val="00E62C74"/>
    <w:rsid w:val="00E63D1C"/>
    <w:rsid w:val="00E65E1E"/>
    <w:rsid w:val="00E65EEB"/>
    <w:rsid w:val="00E66782"/>
    <w:rsid w:val="00E67CC5"/>
    <w:rsid w:val="00E702AB"/>
    <w:rsid w:val="00E708E7"/>
    <w:rsid w:val="00E7247E"/>
    <w:rsid w:val="00E72F55"/>
    <w:rsid w:val="00E7345A"/>
    <w:rsid w:val="00E73462"/>
    <w:rsid w:val="00E735F6"/>
    <w:rsid w:val="00E73A05"/>
    <w:rsid w:val="00E73BD1"/>
    <w:rsid w:val="00E74A16"/>
    <w:rsid w:val="00E75325"/>
    <w:rsid w:val="00E75C69"/>
    <w:rsid w:val="00E763C7"/>
    <w:rsid w:val="00E7702E"/>
    <w:rsid w:val="00E77B6C"/>
    <w:rsid w:val="00E77FDA"/>
    <w:rsid w:val="00E802EB"/>
    <w:rsid w:val="00E80811"/>
    <w:rsid w:val="00E81256"/>
    <w:rsid w:val="00E81CFF"/>
    <w:rsid w:val="00E82D33"/>
    <w:rsid w:val="00E831AC"/>
    <w:rsid w:val="00E83BE9"/>
    <w:rsid w:val="00E83ECE"/>
    <w:rsid w:val="00E83F40"/>
    <w:rsid w:val="00E83F46"/>
    <w:rsid w:val="00E84A39"/>
    <w:rsid w:val="00E84E84"/>
    <w:rsid w:val="00E84EE7"/>
    <w:rsid w:val="00E85257"/>
    <w:rsid w:val="00E855C1"/>
    <w:rsid w:val="00E856F7"/>
    <w:rsid w:val="00E85EF4"/>
    <w:rsid w:val="00E85FF3"/>
    <w:rsid w:val="00E87115"/>
    <w:rsid w:val="00E876C0"/>
    <w:rsid w:val="00E87703"/>
    <w:rsid w:val="00E90998"/>
    <w:rsid w:val="00E9135A"/>
    <w:rsid w:val="00E91458"/>
    <w:rsid w:val="00E918A1"/>
    <w:rsid w:val="00E92AAA"/>
    <w:rsid w:val="00E92C62"/>
    <w:rsid w:val="00E94378"/>
    <w:rsid w:val="00E94638"/>
    <w:rsid w:val="00E961DE"/>
    <w:rsid w:val="00E96212"/>
    <w:rsid w:val="00E9775A"/>
    <w:rsid w:val="00E978BF"/>
    <w:rsid w:val="00EA090F"/>
    <w:rsid w:val="00EA0C69"/>
    <w:rsid w:val="00EA1183"/>
    <w:rsid w:val="00EA123D"/>
    <w:rsid w:val="00EA1322"/>
    <w:rsid w:val="00EA2E46"/>
    <w:rsid w:val="00EA352E"/>
    <w:rsid w:val="00EA3A7E"/>
    <w:rsid w:val="00EA41B6"/>
    <w:rsid w:val="00EA5539"/>
    <w:rsid w:val="00EA721D"/>
    <w:rsid w:val="00EB04D0"/>
    <w:rsid w:val="00EB09A2"/>
    <w:rsid w:val="00EB0E56"/>
    <w:rsid w:val="00EB0F9D"/>
    <w:rsid w:val="00EB131C"/>
    <w:rsid w:val="00EB141C"/>
    <w:rsid w:val="00EB1E40"/>
    <w:rsid w:val="00EB1F3C"/>
    <w:rsid w:val="00EB2F5E"/>
    <w:rsid w:val="00EB3509"/>
    <w:rsid w:val="00EB41F2"/>
    <w:rsid w:val="00EB46A7"/>
    <w:rsid w:val="00EB5C4C"/>
    <w:rsid w:val="00EB5C6B"/>
    <w:rsid w:val="00EB5EFC"/>
    <w:rsid w:val="00EB619C"/>
    <w:rsid w:val="00EB650C"/>
    <w:rsid w:val="00EB6778"/>
    <w:rsid w:val="00EB7BDE"/>
    <w:rsid w:val="00EC0450"/>
    <w:rsid w:val="00EC0F78"/>
    <w:rsid w:val="00EC11CE"/>
    <w:rsid w:val="00EC1860"/>
    <w:rsid w:val="00EC2353"/>
    <w:rsid w:val="00EC4106"/>
    <w:rsid w:val="00EC4390"/>
    <w:rsid w:val="00EC43E7"/>
    <w:rsid w:val="00EC4C50"/>
    <w:rsid w:val="00EC4F23"/>
    <w:rsid w:val="00EC4F3A"/>
    <w:rsid w:val="00EC55DE"/>
    <w:rsid w:val="00EC5984"/>
    <w:rsid w:val="00EC5A72"/>
    <w:rsid w:val="00EC5C95"/>
    <w:rsid w:val="00EC5F3A"/>
    <w:rsid w:val="00EC602D"/>
    <w:rsid w:val="00EC6DA9"/>
    <w:rsid w:val="00EC76E3"/>
    <w:rsid w:val="00EC7D6B"/>
    <w:rsid w:val="00ED063F"/>
    <w:rsid w:val="00ED0AA5"/>
    <w:rsid w:val="00ED1359"/>
    <w:rsid w:val="00ED17E5"/>
    <w:rsid w:val="00ED192D"/>
    <w:rsid w:val="00ED38D0"/>
    <w:rsid w:val="00ED3AAD"/>
    <w:rsid w:val="00ED3AC2"/>
    <w:rsid w:val="00ED3B15"/>
    <w:rsid w:val="00ED4151"/>
    <w:rsid w:val="00ED5FC0"/>
    <w:rsid w:val="00ED6952"/>
    <w:rsid w:val="00ED6BC5"/>
    <w:rsid w:val="00ED6D87"/>
    <w:rsid w:val="00ED6FF1"/>
    <w:rsid w:val="00ED734D"/>
    <w:rsid w:val="00ED74CB"/>
    <w:rsid w:val="00ED75E1"/>
    <w:rsid w:val="00ED77DB"/>
    <w:rsid w:val="00ED7E77"/>
    <w:rsid w:val="00EE00D4"/>
    <w:rsid w:val="00EE0EF3"/>
    <w:rsid w:val="00EE1095"/>
    <w:rsid w:val="00EE18FA"/>
    <w:rsid w:val="00EE1FF2"/>
    <w:rsid w:val="00EE2203"/>
    <w:rsid w:val="00EE2B0E"/>
    <w:rsid w:val="00EE39A0"/>
    <w:rsid w:val="00EE473B"/>
    <w:rsid w:val="00EE4CCE"/>
    <w:rsid w:val="00EE591E"/>
    <w:rsid w:val="00EE6238"/>
    <w:rsid w:val="00EE6B85"/>
    <w:rsid w:val="00EE6BF3"/>
    <w:rsid w:val="00EE6D5E"/>
    <w:rsid w:val="00EE7787"/>
    <w:rsid w:val="00EE7FA3"/>
    <w:rsid w:val="00EF014A"/>
    <w:rsid w:val="00EF02CF"/>
    <w:rsid w:val="00EF0515"/>
    <w:rsid w:val="00EF0F1D"/>
    <w:rsid w:val="00EF1591"/>
    <w:rsid w:val="00EF180E"/>
    <w:rsid w:val="00EF24A3"/>
    <w:rsid w:val="00EF2557"/>
    <w:rsid w:val="00EF2B4B"/>
    <w:rsid w:val="00EF36D9"/>
    <w:rsid w:val="00EF414B"/>
    <w:rsid w:val="00EF46F4"/>
    <w:rsid w:val="00EF48F4"/>
    <w:rsid w:val="00EF4CEB"/>
    <w:rsid w:val="00EF4FD7"/>
    <w:rsid w:val="00EF56F2"/>
    <w:rsid w:val="00EF5A4C"/>
    <w:rsid w:val="00EF600A"/>
    <w:rsid w:val="00EF74EE"/>
    <w:rsid w:val="00EF7B61"/>
    <w:rsid w:val="00EF7F62"/>
    <w:rsid w:val="00F001DB"/>
    <w:rsid w:val="00F0054A"/>
    <w:rsid w:val="00F01E34"/>
    <w:rsid w:val="00F026F1"/>
    <w:rsid w:val="00F02DF4"/>
    <w:rsid w:val="00F02E4F"/>
    <w:rsid w:val="00F03588"/>
    <w:rsid w:val="00F0385F"/>
    <w:rsid w:val="00F0403F"/>
    <w:rsid w:val="00F04178"/>
    <w:rsid w:val="00F04DDA"/>
    <w:rsid w:val="00F057DF"/>
    <w:rsid w:val="00F05A32"/>
    <w:rsid w:val="00F05CD7"/>
    <w:rsid w:val="00F066D8"/>
    <w:rsid w:val="00F066E1"/>
    <w:rsid w:val="00F0677B"/>
    <w:rsid w:val="00F07309"/>
    <w:rsid w:val="00F10057"/>
    <w:rsid w:val="00F100B0"/>
    <w:rsid w:val="00F1046E"/>
    <w:rsid w:val="00F11B57"/>
    <w:rsid w:val="00F132B9"/>
    <w:rsid w:val="00F139B4"/>
    <w:rsid w:val="00F13AA5"/>
    <w:rsid w:val="00F13E56"/>
    <w:rsid w:val="00F13EE6"/>
    <w:rsid w:val="00F147B1"/>
    <w:rsid w:val="00F14874"/>
    <w:rsid w:val="00F14E1E"/>
    <w:rsid w:val="00F152CE"/>
    <w:rsid w:val="00F15749"/>
    <w:rsid w:val="00F15A3D"/>
    <w:rsid w:val="00F1675B"/>
    <w:rsid w:val="00F16CDD"/>
    <w:rsid w:val="00F16F27"/>
    <w:rsid w:val="00F16F90"/>
    <w:rsid w:val="00F17D6A"/>
    <w:rsid w:val="00F20C1B"/>
    <w:rsid w:val="00F20DEC"/>
    <w:rsid w:val="00F20FD8"/>
    <w:rsid w:val="00F21A41"/>
    <w:rsid w:val="00F22BA9"/>
    <w:rsid w:val="00F2318B"/>
    <w:rsid w:val="00F2384E"/>
    <w:rsid w:val="00F24C35"/>
    <w:rsid w:val="00F24F29"/>
    <w:rsid w:val="00F252B9"/>
    <w:rsid w:val="00F27068"/>
    <w:rsid w:val="00F2758E"/>
    <w:rsid w:val="00F27B70"/>
    <w:rsid w:val="00F27E68"/>
    <w:rsid w:val="00F3047A"/>
    <w:rsid w:val="00F30AC4"/>
    <w:rsid w:val="00F30CF5"/>
    <w:rsid w:val="00F31160"/>
    <w:rsid w:val="00F31ABA"/>
    <w:rsid w:val="00F31FE5"/>
    <w:rsid w:val="00F33005"/>
    <w:rsid w:val="00F33E67"/>
    <w:rsid w:val="00F3434A"/>
    <w:rsid w:val="00F34669"/>
    <w:rsid w:val="00F355D3"/>
    <w:rsid w:val="00F35A9B"/>
    <w:rsid w:val="00F36A69"/>
    <w:rsid w:val="00F36C63"/>
    <w:rsid w:val="00F409E0"/>
    <w:rsid w:val="00F412C1"/>
    <w:rsid w:val="00F41361"/>
    <w:rsid w:val="00F43371"/>
    <w:rsid w:val="00F43698"/>
    <w:rsid w:val="00F4515A"/>
    <w:rsid w:val="00F45F25"/>
    <w:rsid w:val="00F46788"/>
    <w:rsid w:val="00F478FD"/>
    <w:rsid w:val="00F509BE"/>
    <w:rsid w:val="00F50A6D"/>
    <w:rsid w:val="00F50CE0"/>
    <w:rsid w:val="00F51157"/>
    <w:rsid w:val="00F5123A"/>
    <w:rsid w:val="00F51A3C"/>
    <w:rsid w:val="00F52221"/>
    <w:rsid w:val="00F52396"/>
    <w:rsid w:val="00F52830"/>
    <w:rsid w:val="00F52C2B"/>
    <w:rsid w:val="00F52D4C"/>
    <w:rsid w:val="00F52D7F"/>
    <w:rsid w:val="00F544BE"/>
    <w:rsid w:val="00F5458D"/>
    <w:rsid w:val="00F547AB"/>
    <w:rsid w:val="00F54DB1"/>
    <w:rsid w:val="00F5638A"/>
    <w:rsid w:val="00F56954"/>
    <w:rsid w:val="00F56BF7"/>
    <w:rsid w:val="00F57056"/>
    <w:rsid w:val="00F60157"/>
    <w:rsid w:val="00F607A1"/>
    <w:rsid w:val="00F607D1"/>
    <w:rsid w:val="00F6189F"/>
    <w:rsid w:val="00F622F5"/>
    <w:rsid w:val="00F625F1"/>
    <w:rsid w:val="00F634F9"/>
    <w:rsid w:val="00F63588"/>
    <w:rsid w:val="00F63AE9"/>
    <w:rsid w:val="00F6658C"/>
    <w:rsid w:val="00F665F4"/>
    <w:rsid w:val="00F6705D"/>
    <w:rsid w:val="00F71BAF"/>
    <w:rsid w:val="00F71C4E"/>
    <w:rsid w:val="00F73969"/>
    <w:rsid w:val="00F7406D"/>
    <w:rsid w:val="00F74748"/>
    <w:rsid w:val="00F758CF"/>
    <w:rsid w:val="00F76361"/>
    <w:rsid w:val="00F766CA"/>
    <w:rsid w:val="00F7690F"/>
    <w:rsid w:val="00F769D2"/>
    <w:rsid w:val="00F76A07"/>
    <w:rsid w:val="00F76EC2"/>
    <w:rsid w:val="00F77DA1"/>
    <w:rsid w:val="00F80B83"/>
    <w:rsid w:val="00F810D4"/>
    <w:rsid w:val="00F81F8B"/>
    <w:rsid w:val="00F8232F"/>
    <w:rsid w:val="00F82B2B"/>
    <w:rsid w:val="00F82F0B"/>
    <w:rsid w:val="00F83820"/>
    <w:rsid w:val="00F83CA1"/>
    <w:rsid w:val="00F83F52"/>
    <w:rsid w:val="00F84172"/>
    <w:rsid w:val="00F84178"/>
    <w:rsid w:val="00F8456B"/>
    <w:rsid w:val="00F847E9"/>
    <w:rsid w:val="00F85616"/>
    <w:rsid w:val="00F8599C"/>
    <w:rsid w:val="00F865E2"/>
    <w:rsid w:val="00F86BA9"/>
    <w:rsid w:val="00F86D04"/>
    <w:rsid w:val="00F8713E"/>
    <w:rsid w:val="00F872F8"/>
    <w:rsid w:val="00F8736E"/>
    <w:rsid w:val="00F8738A"/>
    <w:rsid w:val="00F87A84"/>
    <w:rsid w:val="00F903C0"/>
    <w:rsid w:val="00F90A5C"/>
    <w:rsid w:val="00F90DCA"/>
    <w:rsid w:val="00F917BD"/>
    <w:rsid w:val="00F91AB1"/>
    <w:rsid w:val="00F927F0"/>
    <w:rsid w:val="00F92BBF"/>
    <w:rsid w:val="00F93410"/>
    <w:rsid w:val="00F93C18"/>
    <w:rsid w:val="00F94521"/>
    <w:rsid w:val="00F94BEF"/>
    <w:rsid w:val="00F94ED2"/>
    <w:rsid w:val="00F95433"/>
    <w:rsid w:val="00F95732"/>
    <w:rsid w:val="00F95D26"/>
    <w:rsid w:val="00F9642D"/>
    <w:rsid w:val="00F96465"/>
    <w:rsid w:val="00F971E4"/>
    <w:rsid w:val="00FA117A"/>
    <w:rsid w:val="00FA1CC1"/>
    <w:rsid w:val="00FA1D5A"/>
    <w:rsid w:val="00FA20AD"/>
    <w:rsid w:val="00FA20C4"/>
    <w:rsid w:val="00FA2F2D"/>
    <w:rsid w:val="00FA310F"/>
    <w:rsid w:val="00FA4121"/>
    <w:rsid w:val="00FA41B8"/>
    <w:rsid w:val="00FA4CBE"/>
    <w:rsid w:val="00FA4EAE"/>
    <w:rsid w:val="00FA570E"/>
    <w:rsid w:val="00FA5890"/>
    <w:rsid w:val="00FA709E"/>
    <w:rsid w:val="00FA7507"/>
    <w:rsid w:val="00FA7937"/>
    <w:rsid w:val="00FA7A18"/>
    <w:rsid w:val="00FB0341"/>
    <w:rsid w:val="00FB058C"/>
    <w:rsid w:val="00FB0744"/>
    <w:rsid w:val="00FB0DE8"/>
    <w:rsid w:val="00FB15E2"/>
    <w:rsid w:val="00FB195E"/>
    <w:rsid w:val="00FB1EE3"/>
    <w:rsid w:val="00FB2786"/>
    <w:rsid w:val="00FB2E47"/>
    <w:rsid w:val="00FB3041"/>
    <w:rsid w:val="00FB30D0"/>
    <w:rsid w:val="00FB377C"/>
    <w:rsid w:val="00FB4C03"/>
    <w:rsid w:val="00FB5450"/>
    <w:rsid w:val="00FB5FEE"/>
    <w:rsid w:val="00FB6D4A"/>
    <w:rsid w:val="00FB7091"/>
    <w:rsid w:val="00FB7097"/>
    <w:rsid w:val="00FB73C8"/>
    <w:rsid w:val="00FB75D3"/>
    <w:rsid w:val="00FB7AF1"/>
    <w:rsid w:val="00FB7DA8"/>
    <w:rsid w:val="00FC07A4"/>
    <w:rsid w:val="00FC12EA"/>
    <w:rsid w:val="00FC212A"/>
    <w:rsid w:val="00FC3456"/>
    <w:rsid w:val="00FC4926"/>
    <w:rsid w:val="00FC5DB6"/>
    <w:rsid w:val="00FC5DFD"/>
    <w:rsid w:val="00FD0927"/>
    <w:rsid w:val="00FD1D0C"/>
    <w:rsid w:val="00FD1D69"/>
    <w:rsid w:val="00FD368A"/>
    <w:rsid w:val="00FD3839"/>
    <w:rsid w:val="00FD3E82"/>
    <w:rsid w:val="00FD4871"/>
    <w:rsid w:val="00FD55E9"/>
    <w:rsid w:val="00FD55F6"/>
    <w:rsid w:val="00FD5F46"/>
    <w:rsid w:val="00FD64D6"/>
    <w:rsid w:val="00FD717C"/>
    <w:rsid w:val="00FD789B"/>
    <w:rsid w:val="00FD7BE4"/>
    <w:rsid w:val="00FE0838"/>
    <w:rsid w:val="00FE174B"/>
    <w:rsid w:val="00FE1F73"/>
    <w:rsid w:val="00FE25B0"/>
    <w:rsid w:val="00FE38D2"/>
    <w:rsid w:val="00FE3CFF"/>
    <w:rsid w:val="00FE4817"/>
    <w:rsid w:val="00FE6AF0"/>
    <w:rsid w:val="00FE6B7D"/>
    <w:rsid w:val="00FE6ECB"/>
    <w:rsid w:val="00FE7AD6"/>
    <w:rsid w:val="00FE7EB9"/>
    <w:rsid w:val="00FF0058"/>
    <w:rsid w:val="00FF07A1"/>
    <w:rsid w:val="00FF11A6"/>
    <w:rsid w:val="00FF1375"/>
    <w:rsid w:val="00FF1B7E"/>
    <w:rsid w:val="00FF1F5E"/>
    <w:rsid w:val="00FF308C"/>
    <w:rsid w:val="00FF3A81"/>
    <w:rsid w:val="00FF43C0"/>
    <w:rsid w:val="00FF4B8F"/>
    <w:rsid w:val="00FF57BE"/>
    <w:rsid w:val="00FF6100"/>
    <w:rsid w:val="00FF61A3"/>
    <w:rsid w:val="00FF6794"/>
    <w:rsid w:val="00FF6BDC"/>
    <w:rsid w:val="00FF7658"/>
    <w:rsid w:val="00FF77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16AD5-0343-4D1F-8DF7-CDBD83D5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9DB"/>
    <w:rPr>
      <w:rFonts w:ascii="Times New Roman" w:eastAsia="Times New Roman" w:hAnsi="Times New Roman"/>
      <w:sz w:val="24"/>
      <w:szCs w:val="24"/>
      <w:lang w:val="es-ES" w:eastAsia="es-ES"/>
    </w:rPr>
  </w:style>
  <w:style w:type="paragraph" w:styleId="Ttulo20">
    <w:name w:val="heading 2"/>
    <w:basedOn w:val="Normal"/>
    <w:next w:val="Normal"/>
    <w:link w:val="Ttulo2Car"/>
    <w:uiPriority w:val="9"/>
    <w:unhideWhenUsed/>
    <w:qFormat/>
    <w:rsid w:val="003D62EC"/>
    <w:pPr>
      <w:keepNext/>
      <w:spacing w:before="240" w:after="60"/>
      <w:outlineLvl w:val="1"/>
    </w:pPr>
    <w:rPr>
      <w:rFonts w:ascii="Calibri Light" w:hAnsi="Calibri Light"/>
      <w:b/>
      <w:bCs/>
      <w:i/>
      <w:iCs/>
      <w:sz w:val="28"/>
      <w:szCs w:val="28"/>
    </w:rPr>
  </w:style>
  <w:style w:type="paragraph" w:styleId="Ttulo6">
    <w:name w:val="heading 6"/>
    <w:basedOn w:val="Normal"/>
    <w:next w:val="Normal"/>
    <w:link w:val="Ttulo6Car"/>
    <w:qFormat/>
    <w:rsid w:val="003B0CB1"/>
    <w:pPr>
      <w:keepNext/>
      <w:spacing w:line="240" w:lineRule="atLeast"/>
      <w:ind w:left="3420" w:right="-1"/>
      <w:outlineLvl w:val="5"/>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link w:val="Ttulo6"/>
    <w:rsid w:val="003B0CB1"/>
    <w:rPr>
      <w:rFonts w:ascii="Times New Roman" w:eastAsia="Times New Roman" w:hAnsi="Times New Roman" w:cs="Times New Roman"/>
      <w:b/>
      <w:sz w:val="28"/>
      <w:szCs w:val="24"/>
      <w:lang w:val="es-ES" w:eastAsia="es-ES"/>
    </w:rPr>
  </w:style>
  <w:style w:type="paragraph" w:styleId="Textoindependiente">
    <w:name w:val="Body Text"/>
    <w:basedOn w:val="Normal"/>
    <w:link w:val="TextoindependienteCar"/>
    <w:rsid w:val="003B0CB1"/>
    <w:pPr>
      <w:spacing w:line="240" w:lineRule="atLeast"/>
      <w:ind w:right="51"/>
      <w:jc w:val="both"/>
    </w:pPr>
    <w:rPr>
      <w:sz w:val="28"/>
      <w:szCs w:val="20"/>
      <w:lang w:val="es-CO"/>
    </w:rPr>
  </w:style>
  <w:style w:type="character" w:customStyle="1" w:styleId="TextoindependienteCar">
    <w:name w:val="Texto independiente Car"/>
    <w:link w:val="Textoindependiente"/>
    <w:rsid w:val="003B0CB1"/>
    <w:rPr>
      <w:rFonts w:ascii="Times New Roman" w:eastAsia="Times New Roman" w:hAnsi="Times New Roman" w:cs="Times New Roman"/>
      <w:sz w:val="28"/>
      <w:szCs w:val="20"/>
      <w:lang w:eastAsia="es-ES"/>
    </w:rPr>
  </w:style>
  <w:style w:type="paragraph" w:styleId="Piedepgina">
    <w:name w:val="footer"/>
    <w:basedOn w:val="Normal"/>
    <w:link w:val="PiedepginaCar"/>
    <w:uiPriority w:val="99"/>
    <w:rsid w:val="003B0CB1"/>
    <w:pPr>
      <w:tabs>
        <w:tab w:val="center" w:pos="4419"/>
        <w:tab w:val="right" w:pos="8838"/>
      </w:tabs>
    </w:pPr>
  </w:style>
  <w:style w:type="character" w:customStyle="1" w:styleId="PiedepginaCar">
    <w:name w:val="Pie de página Car"/>
    <w:link w:val="Piedepgina"/>
    <w:uiPriority w:val="99"/>
    <w:rsid w:val="003B0CB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B0CB1"/>
  </w:style>
  <w:style w:type="paragraph" w:styleId="Encabezado">
    <w:name w:val="header"/>
    <w:basedOn w:val="Normal"/>
    <w:link w:val="EncabezadoCar"/>
    <w:rsid w:val="003B0CB1"/>
    <w:pPr>
      <w:tabs>
        <w:tab w:val="center" w:pos="4419"/>
        <w:tab w:val="right" w:pos="8838"/>
      </w:tabs>
    </w:pPr>
  </w:style>
  <w:style w:type="character" w:customStyle="1" w:styleId="EncabezadoCar">
    <w:name w:val="Encabezado Car"/>
    <w:link w:val="Encabezado"/>
    <w:rsid w:val="003B0CB1"/>
    <w:rPr>
      <w:rFonts w:ascii="Times New Roman" w:eastAsia="Times New Roman" w:hAnsi="Times New Roman" w:cs="Times New Roman"/>
      <w:sz w:val="24"/>
      <w:szCs w:val="24"/>
      <w:lang w:val="es-ES" w:eastAsia="es-ES"/>
    </w:rPr>
  </w:style>
  <w:style w:type="character" w:styleId="Refdenotaalpie">
    <w:name w:val="footnote reference"/>
    <w:aliases w:val="Texto de nota al pie,Footnotes refss,Appel note de bas de page,referencia nota al pie,Footnote number,BVI fnr,f,Fago Fußnotenzeichen,Ref. de nota al pie 2,4_G,16 Point,Superscript 6 Point,Footnote symbol,Footnote,Ref,de nota al pie"/>
    <w:link w:val="Piedepagina"/>
    <w:uiPriority w:val="99"/>
    <w:qFormat/>
    <w:rsid w:val="003B0CB1"/>
    <w:rPr>
      <w:rFonts w:cs="Times New Roman"/>
      <w:vertAlign w:val="superscript"/>
    </w:rPr>
  </w:style>
  <w:style w:type="paragraph" w:styleId="Textodeglobo">
    <w:name w:val="Balloon Text"/>
    <w:basedOn w:val="Normal"/>
    <w:link w:val="TextodegloboCar"/>
    <w:uiPriority w:val="99"/>
    <w:semiHidden/>
    <w:unhideWhenUsed/>
    <w:rsid w:val="003B0CB1"/>
    <w:rPr>
      <w:rFonts w:ascii="Tahoma" w:hAnsi="Tahoma" w:cs="Tahoma"/>
      <w:sz w:val="16"/>
      <w:szCs w:val="16"/>
    </w:rPr>
  </w:style>
  <w:style w:type="character" w:customStyle="1" w:styleId="TextodegloboCar">
    <w:name w:val="Texto de globo Car"/>
    <w:link w:val="Textodeglobo"/>
    <w:uiPriority w:val="99"/>
    <w:semiHidden/>
    <w:rsid w:val="003B0CB1"/>
    <w:rPr>
      <w:rFonts w:ascii="Tahoma" w:eastAsia="Times New Roman" w:hAnsi="Tahoma" w:cs="Tahoma"/>
      <w:sz w:val="16"/>
      <w:szCs w:val="16"/>
      <w:lang w:val="es-ES" w:eastAsia="es-ES"/>
    </w:rPr>
  </w:style>
  <w:style w:type="paragraph" w:styleId="Prrafodelista">
    <w:name w:val="List Paragraph"/>
    <w:basedOn w:val="Normal"/>
    <w:uiPriority w:val="34"/>
    <w:qFormat/>
    <w:rsid w:val="009903C3"/>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Ref. de nota al pi"/>
    <w:basedOn w:val="Normal"/>
    <w:link w:val="TextonotapieCar1"/>
    <w:autoRedefine/>
    <w:uiPriority w:val="99"/>
    <w:qFormat/>
    <w:rsid w:val="00370A17"/>
    <w:pPr>
      <w:widowControl w:val="0"/>
      <w:autoSpaceDE w:val="0"/>
      <w:autoSpaceDN w:val="0"/>
      <w:jc w:val="both"/>
    </w:pPr>
    <w:rPr>
      <w:rFonts w:eastAsia="SimSun"/>
      <w:color w:val="000000"/>
      <w:sz w:val="20"/>
      <w:szCs w:val="20"/>
      <w:lang w:val="es-CO"/>
    </w:rPr>
  </w:style>
  <w:style w:type="character" w:customStyle="1" w:styleId="TextonotapieCar">
    <w:name w:val="Texto nota pie Car"/>
    <w:aliases w:val="Ref. de nota al pie1 Car,Texto de nota al pie Car,referencia nota al pie Car,Footnote Text Char Char Char Char Char Car1,Footnote Text Char Char Char Char Car1,Ref. de nota al pie1 Car1,FA Fu Car1,Footnote Text Char Char Char Car1,f C"/>
    <w:uiPriority w:val="99"/>
    <w:rsid w:val="005E35A6"/>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locked/>
    <w:rsid w:val="00370A17"/>
    <w:rPr>
      <w:rFonts w:ascii="Times New Roman" w:eastAsia="SimSun" w:hAnsi="Times New Roman"/>
      <w:color w:val="000000"/>
      <w:lang w:val="es-CO"/>
    </w:rPr>
  </w:style>
  <w:style w:type="character" w:customStyle="1" w:styleId="apple-style-span">
    <w:name w:val="apple-style-span"/>
    <w:uiPriority w:val="99"/>
    <w:rsid w:val="005E35A6"/>
    <w:rPr>
      <w:rFonts w:cs="Times New Roman"/>
    </w:rPr>
  </w:style>
  <w:style w:type="paragraph" w:styleId="NormalWeb">
    <w:name w:val="Normal (Web)"/>
    <w:basedOn w:val="Normal"/>
    <w:uiPriority w:val="99"/>
    <w:unhideWhenUsed/>
    <w:rsid w:val="00BA04C5"/>
    <w:pPr>
      <w:spacing w:before="100" w:beforeAutospacing="1" w:after="100" w:afterAutospacing="1"/>
    </w:pPr>
    <w:rPr>
      <w:lang w:val="es-CO" w:eastAsia="es-CO"/>
    </w:rPr>
  </w:style>
  <w:style w:type="paragraph" w:styleId="Textodebloque">
    <w:name w:val="Block Text"/>
    <w:basedOn w:val="Normal"/>
    <w:rsid w:val="00BA04C5"/>
    <w:pPr>
      <w:spacing w:line="240" w:lineRule="atLeast"/>
      <w:ind w:left="3402" w:right="-1"/>
    </w:pPr>
    <w:rPr>
      <w:b/>
      <w:sz w:val="28"/>
    </w:rPr>
  </w:style>
  <w:style w:type="paragraph" w:styleId="Sangradetextonormal">
    <w:name w:val="Body Text Indent"/>
    <w:basedOn w:val="Normal"/>
    <w:link w:val="SangradetextonormalCar"/>
    <w:uiPriority w:val="99"/>
    <w:semiHidden/>
    <w:unhideWhenUsed/>
    <w:rsid w:val="0001439A"/>
    <w:pPr>
      <w:spacing w:after="120"/>
      <w:ind w:left="283"/>
    </w:pPr>
  </w:style>
  <w:style w:type="character" w:customStyle="1" w:styleId="SangradetextonormalCar">
    <w:name w:val="Sangría de texto normal Car"/>
    <w:link w:val="Sangradetextonormal"/>
    <w:uiPriority w:val="99"/>
    <w:semiHidden/>
    <w:rsid w:val="0001439A"/>
    <w:rPr>
      <w:rFonts w:ascii="Times New Roman" w:eastAsia="Times New Roman" w:hAnsi="Times New Roman" w:cs="Times New Roman"/>
      <w:sz w:val="24"/>
      <w:szCs w:val="24"/>
      <w:lang w:val="es-ES" w:eastAsia="es-ES"/>
    </w:rPr>
  </w:style>
  <w:style w:type="paragraph" w:customStyle="1" w:styleId="Sangradetindependiente">
    <w:name w:val="Sangría de t. independiente"/>
    <w:basedOn w:val="Normal"/>
    <w:rsid w:val="009451DC"/>
    <w:rPr>
      <w:sz w:val="28"/>
      <w:szCs w:val="28"/>
      <w:lang w:val="es-CO"/>
    </w:rPr>
  </w:style>
  <w:style w:type="character" w:customStyle="1" w:styleId="apple-converted-space">
    <w:name w:val="apple-converted-space"/>
    <w:rsid w:val="009451DC"/>
    <w:rPr>
      <w:rFonts w:cs="Times New Roman"/>
    </w:rPr>
  </w:style>
  <w:style w:type="character" w:customStyle="1" w:styleId="textonavy1">
    <w:name w:val="texto_navy1"/>
    <w:rsid w:val="000A1FAD"/>
    <w:rPr>
      <w:color w:val="000080"/>
    </w:rPr>
  </w:style>
  <w:style w:type="character" w:styleId="nfasis">
    <w:name w:val="Emphasis"/>
    <w:uiPriority w:val="20"/>
    <w:qFormat/>
    <w:rsid w:val="009960D4"/>
    <w:rPr>
      <w:i/>
      <w:iCs/>
    </w:rPr>
  </w:style>
  <w:style w:type="character" w:styleId="Hipervnculo">
    <w:name w:val="Hyperlink"/>
    <w:uiPriority w:val="99"/>
    <w:unhideWhenUsed/>
    <w:rsid w:val="00526D6B"/>
    <w:rPr>
      <w:color w:val="0000FF"/>
      <w:u w:val="single"/>
    </w:rPr>
  </w:style>
  <w:style w:type="character" w:styleId="Refdecomentario">
    <w:name w:val="annotation reference"/>
    <w:uiPriority w:val="99"/>
    <w:semiHidden/>
    <w:unhideWhenUsed/>
    <w:rsid w:val="00917AA6"/>
    <w:rPr>
      <w:sz w:val="16"/>
      <w:szCs w:val="16"/>
    </w:rPr>
  </w:style>
  <w:style w:type="paragraph" w:styleId="Textocomentario">
    <w:name w:val="annotation text"/>
    <w:basedOn w:val="Normal"/>
    <w:link w:val="TextocomentarioCar"/>
    <w:uiPriority w:val="99"/>
    <w:semiHidden/>
    <w:unhideWhenUsed/>
    <w:rsid w:val="00917AA6"/>
    <w:rPr>
      <w:sz w:val="20"/>
      <w:szCs w:val="20"/>
    </w:rPr>
  </w:style>
  <w:style w:type="character" w:customStyle="1" w:styleId="TextocomentarioCar">
    <w:name w:val="Texto comentario Car"/>
    <w:link w:val="Textocomentario"/>
    <w:uiPriority w:val="99"/>
    <w:semiHidden/>
    <w:rsid w:val="00917AA6"/>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917AA6"/>
    <w:rPr>
      <w:b/>
      <w:bCs/>
    </w:rPr>
  </w:style>
  <w:style w:type="character" w:customStyle="1" w:styleId="AsuntodelcomentarioCar">
    <w:name w:val="Asunto del comentario Car"/>
    <w:link w:val="Asuntodelcomentario"/>
    <w:uiPriority w:val="99"/>
    <w:semiHidden/>
    <w:rsid w:val="00917AA6"/>
    <w:rPr>
      <w:rFonts w:ascii="Times New Roman" w:eastAsia="Times New Roman" w:hAnsi="Times New Roman"/>
      <w:b/>
      <w:bCs/>
      <w:lang w:val="es-ES" w:eastAsia="es-ES"/>
    </w:rPr>
  </w:style>
  <w:style w:type="character" w:customStyle="1" w:styleId="st">
    <w:name w:val="st"/>
    <w:rsid w:val="00645BCE"/>
  </w:style>
  <w:style w:type="paragraph" w:customStyle="1" w:styleId="Sinespaciado1">
    <w:name w:val="Sin espaciado1"/>
    <w:qFormat/>
    <w:rsid w:val="00BA00A0"/>
    <w:rPr>
      <w:rFonts w:eastAsia="Times New Roman"/>
      <w:sz w:val="22"/>
      <w:szCs w:val="22"/>
    </w:rPr>
  </w:style>
  <w:style w:type="paragraph" w:customStyle="1" w:styleId="bodytextindent1">
    <w:name w:val="bodytextindent1"/>
    <w:basedOn w:val="Normal"/>
    <w:rsid w:val="002B1159"/>
    <w:pPr>
      <w:spacing w:before="100" w:beforeAutospacing="1" w:after="100" w:afterAutospacing="1"/>
    </w:pPr>
    <w:rPr>
      <w:rFonts w:ascii="Times" w:hAnsi="Times" w:cs="Times"/>
      <w:sz w:val="20"/>
      <w:szCs w:val="20"/>
      <w:lang w:val="en-US" w:eastAsia="en-US"/>
    </w:rPr>
  </w:style>
  <w:style w:type="paragraph" w:styleId="Listaconvietas">
    <w:name w:val="List Bullet"/>
    <w:basedOn w:val="Normal"/>
    <w:uiPriority w:val="99"/>
    <w:unhideWhenUsed/>
    <w:rsid w:val="00004817"/>
    <w:pPr>
      <w:numPr>
        <w:numId w:val="16"/>
      </w:numPr>
      <w:contextualSpacing/>
    </w:pPr>
  </w:style>
  <w:style w:type="table" w:styleId="Tablaconcuadrcula">
    <w:name w:val="Table Grid"/>
    <w:basedOn w:val="Tablanormal"/>
    <w:uiPriority w:val="59"/>
    <w:rsid w:val="00A1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
    <w:name w:val="Tìtulo 2"/>
    <w:basedOn w:val="Normal"/>
    <w:link w:val="Ttulo2Car0"/>
    <w:rsid w:val="00523FC2"/>
    <w:pPr>
      <w:numPr>
        <w:numId w:val="27"/>
      </w:numPr>
      <w:jc w:val="both"/>
      <w:outlineLvl w:val="0"/>
    </w:pPr>
    <w:rPr>
      <w:b/>
      <w:sz w:val="28"/>
      <w:szCs w:val="28"/>
      <w:lang w:val="es-MX"/>
    </w:rPr>
  </w:style>
  <w:style w:type="character" w:customStyle="1" w:styleId="Ttulo2Car0">
    <w:name w:val="Tìtulo 2 Car"/>
    <w:link w:val="Ttulo2"/>
    <w:locked/>
    <w:rsid w:val="00523FC2"/>
    <w:rPr>
      <w:rFonts w:ascii="Times New Roman" w:eastAsia="Times New Roman" w:hAnsi="Times New Roman"/>
      <w:b/>
      <w:sz w:val="28"/>
      <w:szCs w:val="28"/>
      <w:lang w:val="es-MX"/>
    </w:rPr>
  </w:style>
  <w:style w:type="character" w:styleId="Hipervnculovisitado">
    <w:name w:val="FollowedHyperlink"/>
    <w:uiPriority w:val="99"/>
    <w:semiHidden/>
    <w:unhideWhenUsed/>
    <w:rsid w:val="00846256"/>
    <w:rPr>
      <w:color w:val="800080"/>
      <w:u w:val="single"/>
    </w:rPr>
  </w:style>
  <w:style w:type="paragraph" w:customStyle="1" w:styleId="Piedepagina">
    <w:name w:val="Pie de pagina"/>
    <w:basedOn w:val="Normal"/>
    <w:link w:val="Refdenotaalpie"/>
    <w:uiPriority w:val="99"/>
    <w:rsid w:val="00F02DF4"/>
    <w:pPr>
      <w:spacing w:after="160" w:line="240" w:lineRule="exact"/>
    </w:pPr>
    <w:rPr>
      <w:rFonts w:ascii="Calibri" w:eastAsia="Calibri" w:hAnsi="Calibri"/>
      <w:sz w:val="20"/>
      <w:szCs w:val="20"/>
      <w:vertAlign w:val="superscript"/>
    </w:rPr>
  </w:style>
  <w:style w:type="character" w:customStyle="1" w:styleId="Mencinsinresolver">
    <w:name w:val="Mención sin resolver"/>
    <w:uiPriority w:val="99"/>
    <w:semiHidden/>
    <w:unhideWhenUsed/>
    <w:rsid w:val="00981FDE"/>
    <w:rPr>
      <w:color w:val="605E5C"/>
      <w:shd w:val="clear" w:color="auto" w:fill="E1DFDD"/>
    </w:rPr>
  </w:style>
  <w:style w:type="paragraph" w:customStyle="1" w:styleId="sangradetindependiente0">
    <w:name w:val="sangradetindependiente"/>
    <w:basedOn w:val="Normal"/>
    <w:rsid w:val="007D668F"/>
    <w:pPr>
      <w:spacing w:before="100" w:beforeAutospacing="1" w:after="100" w:afterAutospacing="1"/>
    </w:pPr>
    <w:rPr>
      <w:lang w:val="es-CO" w:eastAsia="es-CO"/>
    </w:rPr>
  </w:style>
  <w:style w:type="character" w:customStyle="1" w:styleId="Ttulo2Car">
    <w:name w:val="Título 2 Car"/>
    <w:link w:val="Ttulo20"/>
    <w:uiPriority w:val="9"/>
    <w:rsid w:val="003D62EC"/>
    <w:rPr>
      <w:rFonts w:ascii="Calibri Light" w:eastAsia="Times New Roman" w:hAnsi="Calibri Light" w:cs="Times New Roman"/>
      <w:b/>
      <w:bCs/>
      <w:i/>
      <w:iCs/>
      <w:sz w:val="28"/>
      <w:szCs w:val="28"/>
    </w:rPr>
  </w:style>
  <w:style w:type="paragraph" w:customStyle="1" w:styleId="BodyText21">
    <w:name w:val="Body Text 21"/>
    <w:basedOn w:val="Normal"/>
    <w:uiPriority w:val="99"/>
    <w:rsid w:val="00153273"/>
    <w:pPr>
      <w:widowControl w:val="0"/>
      <w:overflowPunct w:val="0"/>
      <w:autoSpaceDE w:val="0"/>
      <w:autoSpaceDN w:val="0"/>
      <w:adjustRightInd w:val="0"/>
      <w:spacing w:line="360" w:lineRule="atLeast"/>
      <w:ind w:right="51"/>
      <w:jc w:val="both"/>
      <w:textAlignment w:val="baseline"/>
    </w:pPr>
    <w:rPr>
      <w:rFonts w:ascii="Arial" w:hAnsi="Arial"/>
      <w:sz w:val="28"/>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97068">
      <w:bodyDiv w:val="1"/>
      <w:marLeft w:val="0"/>
      <w:marRight w:val="0"/>
      <w:marTop w:val="0"/>
      <w:marBottom w:val="0"/>
      <w:divBdr>
        <w:top w:val="none" w:sz="0" w:space="0" w:color="auto"/>
        <w:left w:val="none" w:sz="0" w:space="0" w:color="auto"/>
        <w:bottom w:val="none" w:sz="0" w:space="0" w:color="auto"/>
        <w:right w:val="none" w:sz="0" w:space="0" w:color="auto"/>
      </w:divBdr>
    </w:div>
    <w:div w:id="224296503">
      <w:bodyDiv w:val="1"/>
      <w:marLeft w:val="0"/>
      <w:marRight w:val="0"/>
      <w:marTop w:val="0"/>
      <w:marBottom w:val="0"/>
      <w:divBdr>
        <w:top w:val="none" w:sz="0" w:space="0" w:color="auto"/>
        <w:left w:val="none" w:sz="0" w:space="0" w:color="auto"/>
        <w:bottom w:val="none" w:sz="0" w:space="0" w:color="auto"/>
        <w:right w:val="none" w:sz="0" w:space="0" w:color="auto"/>
      </w:divBdr>
    </w:div>
    <w:div w:id="234514105">
      <w:bodyDiv w:val="1"/>
      <w:marLeft w:val="0"/>
      <w:marRight w:val="0"/>
      <w:marTop w:val="0"/>
      <w:marBottom w:val="0"/>
      <w:divBdr>
        <w:top w:val="none" w:sz="0" w:space="0" w:color="auto"/>
        <w:left w:val="none" w:sz="0" w:space="0" w:color="auto"/>
        <w:bottom w:val="none" w:sz="0" w:space="0" w:color="auto"/>
        <w:right w:val="none" w:sz="0" w:space="0" w:color="auto"/>
      </w:divBdr>
    </w:div>
    <w:div w:id="304362505">
      <w:bodyDiv w:val="1"/>
      <w:marLeft w:val="0"/>
      <w:marRight w:val="0"/>
      <w:marTop w:val="0"/>
      <w:marBottom w:val="0"/>
      <w:divBdr>
        <w:top w:val="none" w:sz="0" w:space="0" w:color="auto"/>
        <w:left w:val="none" w:sz="0" w:space="0" w:color="auto"/>
        <w:bottom w:val="none" w:sz="0" w:space="0" w:color="auto"/>
        <w:right w:val="none" w:sz="0" w:space="0" w:color="auto"/>
      </w:divBdr>
    </w:div>
    <w:div w:id="330449482">
      <w:bodyDiv w:val="1"/>
      <w:marLeft w:val="0"/>
      <w:marRight w:val="0"/>
      <w:marTop w:val="0"/>
      <w:marBottom w:val="0"/>
      <w:divBdr>
        <w:top w:val="none" w:sz="0" w:space="0" w:color="auto"/>
        <w:left w:val="none" w:sz="0" w:space="0" w:color="auto"/>
        <w:bottom w:val="none" w:sz="0" w:space="0" w:color="auto"/>
        <w:right w:val="none" w:sz="0" w:space="0" w:color="auto"/>
      </w:divBdr>
      <w:divsChild>
        <w:div w:id="1705137445">
          <w:marLeft w:val="0"/>
          <w:marRight w:val="0"/>
          <w:marTop w:val="0"/>
          <w:marBottom w:val="0"/>
          <w:divBdr>
            <w:top w:val="none" w:sz="0" w:space="0" w:color="auto"/>
            <w:left w:val="none" w:sz="0" w:space="0" w:color="auto"/>
            <w:bottom w:val="none" w:sz="0" w:space="0" w:color="auto"/>
            <w:right w:val="none" w:sz="0" w:space="0" w:color="auto"/>
          </w:divBdr>
        </w:div>
        <w:div w:id="2100372121">
          <w:marLeft w:val="0"/>
          <w:marRight w:val="0"/>
          <w:marTop w:val="0"/>
          <w:marBottom w:val="0"/>
          <w:divBdr>
            <w:top w:val="none" w:sz="0" w:space="0" w:color="auto"/>
            <w:left w:val="none" w:sz="0" w:space="0" w:color="auto"/>
            <w:bottom w:val="none" w:sz="0" w:space="0" w:color="auto"/>
            <w:right w:val="none" w:sz="0" w:space="0" w:color="auto"/>
          </w:divBdr>
        </w:div>
      </w:divsChild>
    </w:div>
    <w:div w:id="342705206">
      <w:bodyDiv w:val="1"/>
      <w:marLeft w:val="0"/>
      <w:marRight w:val="0"/>
      <w:marTop w:val="0"/>
      <w:marBottom w:val="0"/>
      <w:divBdr>
        <w:top w:val="none" w:sz="0" w:space="0" w:color="auto"/>
        <w:left w:val="none" w:sz="0" w:space="0" w:color="auto"/>
        <w:bottom w:val="none" w:sz="0" w:space="0" w:color="auto"/>
        <w:right w:val="none" w:sz="0" w:space="0" w:color="auto"/>
      </w:divBdr>
      <w:divsChild>
        <w:div w:id="852375756">
          <w:marLeft w:val="0"/>
          <w:marRight w:val="0"/>
          <w:marTop w:val="0"/>
          <w:marBottom w:val="0"/>
          <w:divBdr>
            <w:top w:val="none" w:sz="0" w:space="0" w:color="auto"/>
            <w:left w:val="none" w:sz="0" w:space="0" w:color="auto"/>
            <w:bottom w:val="none" w:sz="0" w:space="0" w:color="auto"/>
            <w:right w:val="none" w:sz="0" w:space="0" w:color="auto"/>
          </w:divBdr>
        </w:div>
        <w:div w:id="2014910076">
          <w:marLeft w:val="0"/>
          <w:marRight w:val="0"/>
          <w:marTop w:val="0"/>
          <w:marBottom w:val="0"/>
          <w:divBdr>
            <w:top w:val="none" w:sz="0" w:space="0" w:color="auto"/>
            <w:left w:val="none" w:sz="0" w:space="0" w:color="auto"/>
            <w:bottom w:val="none" w:sz="0" w:space="0" w:color="auto"/>
            <w:right w:val="none" w:sz="0" w:space="0" w:color="auto"/>
          </w:divBdr>
        </w:div>
      </w:divsChild>
    </w:div>
    <w:div w:id="387144708">
      <w:bodyDiv w:val="1"/>
      <w:marLeft w:val="0"/>
      <w:marRight w:val="0"/>
      <w:marTop w:val="0"/>
      <w:marBottom w:val="0"/>
      <w:divBdr>
        <w:top w:val="none" w:sz="0" w:space="0" w:color="auto"/>
        <w:left w:val="none" w:sz="0" w:space="0" w:color="auto"/>
        <w:bottom w:val="none" w:sz="0" w:space="0" w:color="auto"/>
        <w:right w:val="none" w:sz="0" w:space="0" w:color="auto"/>
      </w:divBdr>
    </w:div>
    <w:div w:id="668093839">
      <w:bodyDiv w:val="1"/>
      <w:marLeft w:val="0"/>
      <w:marRight w:val="0"/>
      <w:marTop w:val="0"/>
      <w:marBottom w:val="0"/>
      <w:divBdr>
        <w:top w:val="none" w:sz="0" w:space="0" w:color="auto"/>
        <w:left w:val="none" w:sz="0" w:space="0" w:color="auto"/>
        <w:bottom w:val="none" w:sz="0" w:space="0" w:color="auto"/>
        <w:right w:val="none" w:sz="0" w:space="0" w:color="auto"/>
      </w:divBdr>
    </w:div>
    <w:div w:id="696076780">
      <w:bodyDiv w:val="1"/>
      <w:marLeft w:val="0"/>
      <w:marRight w:val="0"/>
      <w:marTop w:val="0"/>
      <w:marBottom w:val="0"/>
      <w:divBdr>
        <w:top w:val="none" w:sz="0" w:space="0" w:color="auto"/>
        <w:left w:val="none" w:sz="0" w:space="0" w:color="auto"/>
        <w:bottom w:val="none" w:sz="0" w:space="0" w:color="auto"/>
        <w:right w:val="none" w:sz="0" w:space="0" w:color="auto"/>
      </w:divBdr>
    </w:div>
    <w:div w:id="69739119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3771278">
          <w:marLeft w:val="0"/>
          <w:marRight w:val="0"/>
          <w:marTop w:val="0"/>
          <w:marBottom w:val="0"/>
          <w:divBdr>
            <w:top w:val="none" w:sz="0" w:space="0" w:color="auto"/>
            <w:left w:val="none" w:sz="0" w:space="0" w:color="auto"/>
            <w:bottom w:val="none" w:sz="0" w:space="0" w:color="auto"/>
            <w:right w:val="none" w:sz="0" w:space="0" w:color="auto"/>
          </w:divBdr>
        </w:div>
        <w:div w:id="129053019">
          <w:marLeft w:val="0"/>
          <w:marRight w:val="0"/>
          <w:marTop w:val="0"/>
          <w:marBottom w:val="0"/>
          <w:divBdr>
            <w:top w:val="none" w:sz="0" w:space="0" w:color="auto"/>
            <w:left w:val="none" w:sz="0" w:space="0" w:color="auto"/>
            <w:bottom w:val="none" w:sz="0" w:space="0" w:color="auto"/>
            <w:right w:val="none" w:sz="0" w:space="0" w:color="auto"/>
          </w:divBdr>
        </w:div>
        <w:div w:id="302540880">
          <w:marLeft w:val="0"/>
          <w:marRight w:val="0"/>
          <w:marTop w:val="0"/>
          <w:marBottom w:val="0"/>
          <w:divBdr>
            <w:top w:val="none" w:sz="0" w:space="0" w:color="auto"/>
            <w:left w:val="none" w:sz="0" w:space="0" w:color="auto"/>
            <w:bottom w:val="none" w:sz="0" w:space="0" w:color="auto"/>
            <w:right w:val="none" w:sz="0" w:space="0" w:color="auto"/>
          </w:divBdr>
        </w:div>
        <w:div w:id="1360357917">
          <w:marLeft w:val="0"/>
          <w:marRight w:val="0"/>
          <w:marTop w:val="0"/>
          <w:marBottom w:val="0"/>
          <w:divBdr>
            <w:top w:val="none" w:sz="0" w:space="0" w:color="auto"/>
            <w:left w:val="none" w:sz="0" w:space="0" w:color="auto"/>
            <w:bottom w:val="none" w:sz="0" w:space="0" w:color="auto"/>
            <w:right w:val="none" w:sz="0" w:space="0" w:color="auto"/>
          </w:divBdr>
        </w:div>
        <w:div w:id="2039312047">
          <w:marLeft w:val="0"/>
          <w:marRight w:val="0"/>
          <w:marTop w:val="0"/>
          <w:marBottom w:val="0"/>
          <w:divBdr>
            <w:top w:val="none" w:sz="0" w:space="0" w:color="auto"/>
            <w:left w:val="none" w:sz="0" w:space="0" w:color="auto"/>
            <w:bottom w:val="none" w:sz="0" w:space="0" w:color="auto"/>
            <w:right w:val="none" w:sz="0" w:space="0" w:color="auto"/>
          </w:divBdr>
        </w:div>
      </w:divsChild>
    </w:div>
    <w:div w:id="834035084">
      <w:bodyDiv w:val="1"/>
      <w:marLeft w:val="0"/>
      <w:marRight w:val="0"/>
      <w:marTop w:val="0"/>
      <w:marBottom w:val="0"/>
      <w:divBdr>
        <w:top w:val="none" w:sz="0" w:space="0" w:color="auto"/>
        <w:left w:val="none" w:sz="0" w:space="0" w:color="auto"/>
        <w:bottom w:val="none" w:sz="0" w:space="0" w:color="auto"/>
        <w:right w:val="none" w:sz="0" w:space="0" w:color="auto"/>
      </w:divBdr>
    </w:div>
    <w:div w:id="10057887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1502840">
          <w:marLeft w:val="0"/>
          <w:marRight w:val="0"/>
          <w:marTop w:val="0"/>
          <w:marBottom w:val="0"/>
          <w:divBdr>
            <w:top w:val="none" w:sz="0" w:space="0" w:color="auto"/>
            <w:left w:val="none" w:sz="0" w:space="0" w:color="auto"/>
            <w:bottom w:val="none" w:sz="0" w:space="0" w:color="auto"/>
            <w:right w:val="none" w:sz="0" w:space="0" w:color="auto"/>
          </w:divBdr>
        </w:div>
        <w:div w:id="395249661">
          <w:marLeft w:val="0"/>
          <w:marRight w:val="0"/>
          <w:marTop w:val="0"/>
          <w:marBottom w:val="0"/>
          <w:divBdr>
            <w:top w:val="none" w:sz="0" w:space="0" w:color="auto"/>
            <w:left w:val="none" w:sz="0" w:space="0" w:color="auto"/>
            <w:bottom w:val="none" w:sz="0" w:space="0" w:color="auto"/>
            <w:right w:val="none" w:sz="0" w:space="0" w:color="auto"/>
          </w:divBdr>
        </w:div>
        <w:div w:id="580141735">
          <w:marLeft w:val="0"/>
          <w:marRight w:val="0"/>
          <w:marTop w:val="0"/>
          <w:marBottom w:val="0"/>
          <w:divBdr>
            <w:top w:val="none" w:sz="0" w:space="0" w:color="auto"/>
            <w:left w:val="none" w:sz="0" w:space="0" w:color="auto"/>
            <w:bottom w:val="none" w:sz="0" w:space="0" w:color="auto"/>
            <w:right w:val="none" w:sz="0" w:space="0" w:color="auto"/>
          </w:divBdr>
        </w:div>
        <w:div w:id="1625229756">
          <w:marLeft w:val="0"/>
          <w:marRight w:val="0"/>
          <w:marTop w:val="0"/>
          <w:marBottom w:val="0"/>
          <w:divBdr>
            <w:top w:val="none" w:sz="0" w:space="0" w:color="auto"/>
            <w:left w:val="none" w:sz="0" w:space="0" w:color="auto"/>
            <w:bottom w:val="none" w:sz="0" w:space="0" w:color="auto"/>
            <w:right w:val="none" w:sz="0" w:space="0" w:color="auto"/>
          </w:divBdr>
        </w:div>
        <w:div w:id="1775007907">
          <w:marLeft w:val="0"/>
          <w:marRight w:val="0"/>
          <w:marTop w:val="0"/>
          <w:marBottom w:val="0"/>
          <w:divBdr>
            <w:top w:val="none" w:sz="0" w:space="0" w:color="auto"/>
            <w:left w:val="none" w:sz="0" w:space="0" w:color="auto"/>
            <w:bottom w:val="none" w:sz="0" w:space="0" w:color="auto"/>
            <w:right w:val="none" w:sz="0" w:space="0" w:color="auto"/>
          </w:divBdr>
        </w:div>
        <w:div w:id="1983148735">
          <w:marLeft w:val="0"/>
          <w:marRight w:val="0"/>
          <w:marTop w:val="0"/>
          <w:marBottom w:val="0"/>
          <w:divBdr>
            <w:top w:val="none" w:sz="0" w:space="0" w:color="auto"/>
            <w:left w:val="none" w:sz="0" w:space="0" w:color="auto"/>
            <w:bottom w:val="none" w:sz="0" w:space="0" w:color="auto"/>
            <w:right w:val="none" w:sz="0" w:space="0" w:color="auto"/>
          </w:divBdr>
        </w:div>
      </w:divsChild>
    </w:div>
    <w:div w:id="1074549066">
      <w:bodyDiv w:val="1"/>
      <w:marLeft w:val="0"/>
      <w:marRight w:val="0"/>
      <w:marTop w:val="0"/>
      <w:marBottom w:val="0"/>
      <w:divBdr>
        <w:top w:val="none" w:sz="0" w:space="0" w:color="auto"/>
        <w:left w:val="none" w:sz="0" w:space="0" w:color="auto"/>
        <w:bottom w:val="none" w:sz="0" w:space="0" w:color="auto"/>
        <w:right w:val="none" w:sz="0" w:space="0" w:color="auto"/>
      </w:divBdr>
    </w:div>
    <w:div w:id="1075711892">
      <w:bodyDiv w:val="1"/>
      <w:marLeft w:val="0"/>
      <w:marRight w:val="0"/>
      <w:marTop w:val="0"/>
      <w:marBottom w:val="0"/>
      <w:divBdr>
        <w:top w:val="none" w:sz="0" w:space="0" w:color="auto"/>
        <w:left w:val="none" w:sz="0" w:space="0" w:color="auto"/>
        <w:bottom w:val="none" w:sz="0" w:space="0" w:color="auto"/>
        <w:right w:val="none" w:sz="0" w:space="0" w:color="auto"/>
      </w:divBdr>
    </w:div>
    <w:div w:id="1080327792">
      <w:bodyDiv w:val="1"/>
      <w:marLeft w:val="0"/>
      <w:marRight w:val="0"/>
      <w:marTop w:val="0"/>
      <w:marBottom w:val="0"/>
      <w:divBdr>
        <w:top w:val="none" w:sz="0" w:space="0" w:color="auto"/>
        <w:left w:val="none" w:sz="0" w:space="0" w:color="auto"/>
        <w:bottom w:val="none" w:sz="0" w:space="0" w:color="auto"/>
        <w:right w:val="none" w:sz="0" w:space="0" w:color="auto"/>
      </w:divBdr>
    </w:div>
    <w:div w:id="1085803908">
      <w:bodyDiv w:val="1"/>
      <w:marLeft w:val="0"/>
      <w:marRight w:val="0"/>
      <w:marTop w:val="0"/>
      <w:marBottom w:val="0"/>
      <w:divBdr>
        <w:top w:val="none" w:sz="0" w:space="0" w:color="auto"/>
        <w:left w:val="none" w:sz="0" w:space="0" w:color="auto"/>
        <w:bottom w:val="none" w:sz="0" w:space="0" w:color="auto"/>
        <w:right w:val="none" w:sz="0" w:space="0" w:color="auto"/>
      </w:divBdr>
    </w:div>
    <w:div w:id="1278757567">
      <w:bodyDiv w:val="1"/>
      <w:marLeft w:val="0"/>
      <w:marRight w:val="0"/>
      <w:marTop w:val="0"/>
      <w:marBottom w:val="0"/>
      <w:divBdr>
        <w:top w:val="none" w:sz="0" w:space="0" w:color="auto"/>
        <w:left w:val="none" w:sz="0" w:space="0" w:color="auto"/>
        <w:bottom w:val="none" w:sz="0" w:space="0" w:color="auto"/>
        <w:right w:val="none" w:sz="0" w:space="0" w:color="auto"/>
      </w:divBdr>
    </w:div>
    <w:div w:id="1310863090">
      <w:bodyDiv w:val="1"/>
      <w:marLeft w:val="0"/>
      <w:marRight w:val="0"/>
      <w:marTop w:val="0"/>
      <w:marBottom w:val="0"/>
      <w:divBdr>
        <w:top w:val="none" w:sz="0" w:space="0" w:color="auto"/>
        <w:left w:val="none" w:sz="0" w:space="0" w:color="auto"/>
        <w:bottom w:val="none" w:sz="0" w:space="0" w:color="auto"/>
        <w:right w:val="none" w:sz="0" w:space="0" w:color="auto"/>
      </w:divBdr>
    </w:div>
    <w:div w:id="1334263322">
      <w:bodyDiv w:val="1"/>
      <w:marLeft w:val="0"/>
      <w:marRight w:val="0"/>
      <w:marTop w:val="0"/>
      <w:marBottom w:val="0"/>
      <w:divBdr>
        <w:top w:val="none" w:sz="0" w:space="0" w:color="auto"/>
        <w:left w:val="none" w:sz="0" w:space="0" w:color="auto"/>
        <w:bottom w:val="none" w:sz="0" w:space="0" w:color="auto"/>
        <w:right w:val="none" w:sz="0" w:space="0" w:color="auto"/>
      </w:divBdr>
      <w:divsChild>
        <w:div w:id="1433359621">
          <w:marLeft w:val="0"/>
          <w:marRight w:val="0"/>
          <w:marTop w:val="0"/>
          <w:marBottom w:val="0"/>
          <w:divBdr>
            <w:top w:val="none" w:sz="0" w:space="0" w:color="auto"/>
            <w:left w:val="none" w:sz="0" w:space="0" w:color="auto"/>
            <w:bottom w:val="none" w:sz="0" w:space="0" w:color="auto"/>
            <w:right w:val="none" w:sz="0" w:space="0" w:color="auto"/>
          </w:divBdr>
          <w:divsChild>
            <w:div w:id="562983773">
              <w:marLeft w:val="0"/>
              <w:marRight w:val="0"/>
              <w:marTop w:val="0"/>
              <w:marBottom w:val="0"/>
              <w:divBdr>
                <w:top w:val="none" w:sz="0" w:space="0" w:color="auto"/>
                <w:left w:val="none" w:sz="0" w:space="0" w:color="auto"/>
                <w:bottom w:val="none" w:sz="0" w:space="0" w:color="auto"/>
                <w:right w:val="none" w:sz="0" w:space="0" w:color="auto"/>
              </w:divBdr>
              <w:divsChild>
                <w:div w:id="16181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97951">
      <w:bodyDiv w:val="1"/>
      <w:marLeft w:val="0"/>
      <w:marRight w:val="0"/>
      <w:marTop w:val="0"/>
      <w:marBottom w:val="0"/>
      <w:divBdr>
        <w:top w:val="none" w:sz="0" w:space="0" w:color="auto"/>
        <w:left w:val="none" w:sz="0" w:space="0" w:color="auto"/>
        <w:bottom w:val="none" w:sz="0" w:space="0" w:color="auto"/>
        <w:right w:val="none" w:sz="0" w:space="0" w:color="auto"/>
      </w:divBdr>
    </w:div>
    <w:div w:id="1415126765">
      <w:bodyDiv w:val="1"/>
      <w:marLeft w:val="0"/>
      <w:marRight w:val="0"/>
      <w:marTop w:val="0"/>
      <w:marBottom w:val="0"/>
      <w:divBdr>
        <w:top w:val="none" w:sz="0" w:space="0" w:color="auto"/>
        <w:left w:val="none" w:sz="0" w:space="0" w:color="auto"/>
        <w:bottom w:val="none" w:sz="0" w:space="0" w:color="auto"/>
        <w:right w:val="none" w:sz="0" w:space="0" w:color="auto"/>
      </w:divBdr>
    </w:div>
    <w:div w:id="1444496592">
      <w:bodyDiv w:val="1"/>
      <w:marLeft w:val="0"/>
      <w:marRight w:val="0"/>
      <w:marTop w:val="0"/>
      <w:marBottom w:val="0"/>
      <w:divBdr>
        <w:top w:val="none" w:sz="0" w:space="0" w:color="auto"/>
        <w:left w:val="none" w:sz="0" w:space="0" w:color="auto"/>
        <w:bottom w:val="none" w:sz="0" w:space="0" w:color="auto"/>
        <w:right w:val="none" w:sz="0" w:space="0" w:color="auto"/>
      </w:divBdr>
    </w:div>
    <w:div w:id="1504517158">
      <w:bodyDiv w:val="1"/>
      <w:marLeft w:val="0"/>
      <w:marRight w:val="0"/>
      <w:marTop w:val="0"/>
      <w:marBottom w:val="0"/>
      <w:divBdr>
        <w:top w:val="none" w:sz="0" w:space="0" w:color="auto"/>
        <w:left w:val="none" w:sz="0" w:space="0" w:color="auto"/>
        <w:bottom w:val="none" w:sz="0" w:space="0" w:color="auto"/>
        <w:right w:val="none" w:sz="0" w:space="0" w:color="auto"/>
      </w:divBdr>
    </w:div>
    <w:div w:id="1654720223">
      <w:bodyDiv w:val="1"/>
      <w:marLeft w:val="0"/>
      <w:marRight w:val="0"/>
      <w:marTop w:val="0"/>
      <w:marBottom w:val="0"/>
      <w:divBdr>
        <w:top w:val="none" w:sz="0" w:space="0" w:color="auto"/>
        <w:left w:val="none" w:sz="0" w:space="0" w:color="auto"/>
        <w:bottom w:val="none" w:sz="0" w:space="0" w:color="auto"/>
        <w:right w:val="none" w:sz="0" w:space="0" w:color="auto"/>
      </w:divBdr>
    </w:div>
    <w:div w:id="1882325371">
      <w:bodyDiv w:val="1"/>
      <w:marLeft w:val="0"/>
      <w:marRight w:val="0"/>
      <w:marTop w:val="0"/>
      <w:marBottom w:val="0"/>
      <w:divBdr>
        <w:top w:val="none" w:sz="0" w:space="0" w:color="auto"/>
        <w:left w:val="none" w:sz="0" w:space="0" w:color="auto"/>
        <w:bottom w:val="none" w:sz="0" w:space="0" w:color="auto"/>
        <w:right w:val="none" w:sz="0" w:space="0" w:color="auto"/>
      </w:divBdr>
    </w:div>
    <w:div w:id="20805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7AAD8-503E-4FD6-97F6-FF2BBD89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9202</Words>
  <Characters>50613</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Vega Rodriguez</dc:creator>
  <cp:keywords/>
  <cp:lastModifiedBy>TOSHIBA</cp:lastModifiedBy>
  <cp:revision>2</cp:revision>
  <cp:lastPrinted>2020-01-30T20:27:00Z</cp:lastPrinted>
  <dcterms:created xsi:type="dcterms:W3CDTF">2020-03-30T18:47:00Z</dcterms:created>
  <dcterms:modified xsi:type="dcterms:W3CDTF">2020-03-30T18:47:00Z</dcterms:modified>
</cp:coreProperties>
</file>